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F7" w:rsidRPr="0041294C" w:rsidRDefault="00CC14F7" w:rsidP="00CC14F7">
      <w:pPr>
        <w:jc w:val="both"/>
        <w:rPr>
          <w:rFonts w:asciiTheme="majorBidi" w:hAnsiTheme="majorBidi" w:cstheme="majorBidi"/>
          <w:b/>
          <w:bCs/>
          <w:color w:val="1F497D" w:themeColor="text2"/>
        </w:rPr>
      </w:pPr>
      <w:r w:rsidRPr="0041294C">
        <w:rPr>
          <w:rFonts w:asciiTheme="majorBidi" w:hAnsiTheme="majorBidi" w:cstheme="majorBidi"/>
          <w:b/>
          <w:bCs/>
          <w:color w:val="1F497D" w:themeColor="text2"/>
        </w:rPr>
        <w:t>Brève description du cours :</w:t>
      </w:r>
    </w:p>
    <w:p w:rsidR="00CC14F7" w:rsidRPr="0041294C" w:rsidRDefault="00CC14F7" w:rsidP="00CC14F7">
      <w:pPr>
        <w:jc w:val="both"/>
        <w:rPr>
          <w:rFonts w:asciiTheme="majorBidi" w:hAnsiTheme="majorBidi" w:cstheme="majorBidi"/>
          <w:color w:val="00B050"/>
        </w:rPr>
      </w:pPr>
      <w:r>
        <w:rPr>
          <w:rFonts w:asciiTheme="majorBidi" w:hAnsiTheme="majorBidi" w:cstheme="majorBidi"/>
          <w:color w:val="00B050"/>
        </w:rPr>
        <w:t xml:space="preserve">    </w:t>
      </w:r>
      <w:r w:rsidRPr="0041294C">
        <w:rPr>
          <w:rFonts w:asciiTheme="majorBidi" w:hAnsiTheme="majorBidi" w:cstheme="majorBidi"/>
          <w:color w:val="00B050"/>
        </w:rPr>
        <w:t>Le cours "méthode clinique et étude de cas" explore les fondements théoriques et pratiques de la psychologie clinique, centrée sur l’individu dans sa singularité et sa subjectivité. Il aborde les approches méthodologiques comme l’observation, l’entretien clinique, les tests psychologiques, et l’étude de cas. Ancré dans des courants comme la psychanalyse et le behaviorisme, il met en avant des concepts tels que le transfert et les mécanismes de défense. Les applications incluent le diagnostic, le suivi thérapeutique, et l’analyse relationnelle. Enfin, il insiste sur l’éthique et la rigueur dans la pratique clinique.</w:t>
      </w:r>
    </w:p>
    <w:p w:rsidR="00CC14F7" w:rsidRPr="0041294C" w:rsidRDefault="00CC14F7" w:rsidP="00CC14F7">
      <w:pPr>
        <w:jc w:val="both"/>
        <w:rPr>
          <w:rFonts w:asciiTheme="majorBidi" w:hAnsiTheme="majorBidi" w:cstheme="majorBidi"/>
          <w:b/>
          <w:bCs/>
          <w:color w:val="7030A0"/>
        </w:rPr>
      </w:pPr>
      <w:r w:rsidRPr="0041294C">
        <w:rPr>
          <w:rFonts w:asciiTheme="majorBidi" w:hAnsiTheme="majorBidi" w:cstheme="majorBidi"/>
          <w:b/>
          <w:bCs/>
          <w:color w:val="FF0000"/>
        </w:rPr>
        <w:t>Public cible :</w:t>
      </w:r>
      <w:r w:rsidRPr="0041294C">
        <w:rPr>
          <w:rFonts w:asciiTheme="majorBidi" w:hAnsiTheme="majorBidi" w:cstheme="majorBidi"/>
          <w:b/>
          <w:bCs/>
        </w:rPr>
        <w:t xml:space="preserve"> </w:t>
      </w:r>
      <w:r w:rsidRPr="0041294C">
        <w:rPr>
          <w:rFonts w:asciiTheme="majorBidi" w:hAnsiTheme="majorBidi" w:cstheme="majorBidi"/>
          <w:b/>
          <w:bCs/>
          <w:color w:val="7030A0"/>
        </w:rPr>
        <w:t>les étudiants Licence 3 en psychologie clinique</w:t>
      </w:r>
    </w:p>
    <w:p w:rsidR="00CC14F7" w:rsidRPr="0041294C" w:rsidRDefault="00CC14F7" w:rsidP="00CC14F7">
      <w:pPr>
        <w:jc w:val="both"/>
        <w:rPr>
          <w:rFonts w:asciiTheme="majorBidi" w:hAnsiTheme="majorBidi" w:cstheme="majorBidi"/>
          <w:b/>
          <w:bCs/>
          <w:color w:val="FF0000"/>
        </w:rPr>
      </w:pPr>
      <w:r w:rsidRPr="0041294C">
        <w:rPr>
          <w:rFonts w:asciiTheme="majorBidi" w:hAnsiTheme="majorBidi" w:cstheme="majorBidi"/>
          <w:b/>
          <w:bCs/>
          <w:color w:val="FF0000"/>
        </w:rPr>
        <w:t>Les objectifs généraux :</w:t>
      </w:r>
    </w:p>
    <w:p w:rsidR="00CC14F7" w:rsidRPr="0041294C" w:rsidRDefault="00CC14F7" w:rsidP="00CC14F7">
      <w:pPr>
        <w:tabs>
          <w:tab w:val="left" w:pos="3383"/>
        </w:tabs>
        <w:jc w:val="both"/>
        <w:rPr>
          <w:rFonts w:asciiTheme="majorBidi" w:hAnsiTheme="majorBidi" w:cstheme="majorBidi"/>
          <w:b/>
          <w:bCs/>
        </w:rPr>
      </w:pPr>
      <w:r w:rsidRPr="0041294C">
        <w:rPr>
          <w:rFonts w:asciiTheme="majorBidi" w:hAnsiTheme="majorBidi" w:cstheme="majorBidi"/>
          <w:b/>
          <w:bCs/>
        </w:rPr>
        <w:t xml:space="preserve">Objectifs cognitifs (savoirs) : </w:t>
      </w:r>
    </w:p>
    <w:p w:rsidR="00CC14F7" w:rsidRPr="0041294C" w:rsidRDefault="00CC14F7" w:rsidP="00CC14F7">
      <w:pPr>
        <w:tabs>
          <w:tab w:val="left" w:pos="3383"/>
        </w:tabs>
        <w:jc w:val="both"/>
        <w:rPr>
          <w:rFonts w:asciiTheme="majorBidi" w:hAnsiTheme="majorBidi" w:cstheme="majorBidi"/>
        </w:rPr>
      </w:pPr>
      <w:r w:rsidRPr="0041294C">
        <w:rPr>
          <w:rFonts w:asciiTheme="majorBidi" w:hAnsiTheme="majorBidi" w:cstheme="majorBidi"/>
        </w:rPr>
        <w:t xml:space="preserve">- Comprendre les bases théoriques et historiques de la psychologie clinique.  </w:t>
      </w:r>
    </w:p>
    <w:p w:rsidR="00CC14F7" w:rsidRPr="0041294C" w:rsidRDefault="00CC14F7" w:rsidP="00CC14F7">
      <w:pPr>
        <w:tabs>
          <w:tab w:val="left" w:pos="3383"/>
        </w:tabs>
        <w:jc w:val="both"/>
        <w:rPr>
          <w:rFonts w:asciiTheme="majorBidi" w:hAnsiTheme="majorBidi" w:cstheme="majorBidi"/>
        </w:rPr>
      </w:pPr>
      <w:r w:rsidRPr="0041294C">
        <w:rPr>
          <w:rFonts w:asciiTheme="majorBidi" w:hAnsiTheme="majorBidi" w:cstheme="majorBidi"/>
        </w:rPr>
        <w:t xml:space="preserve">- Définir les concepts clés : normalité, pathologie, transfert, et contre-transfert.  </w:t>
      </w:r>
    </w:p>
    <w:p w:rsidR="00CC14F7" w:rsidRPr="0041294C" w:rsidRDefault="00CC14F7" w:rsidP="00CC14F7">
      <w:pPr>
        <w:jc w:val="both"/>
        <w:rPr>
          <w:rFonts w:asciiTheme="majorBidi" w:hAnsiTheme="majorBidi" w:cstheme="majorBidi"/>
        </w:rPr>
      </w:pPr>
      <w:r w:rsidRPr="0041294C">
        <w:rPr>
          <w:rFonts w:asciiTheme="majorBidi" w:hAnsiTheme="majorBidi" w:cstheme="majorBidi"/>
        </w:rPr>
        <w:t xml:space="preserve">- Décrire les outils méthodologiques propres à l’analyse clinique (observation, entretien, tests).  </w:t>
      </w:r>
    </w:p>
    <w:p w:rsidR="00CC14F7" w:rsidRPr="0041294C" w:rsidRDefault="00CC14F7" w:rsidP="00CC14F7">
      <w:pPr>
        <w:tabs>
          <w:tab w:val="left" w:pos="3383"/>
        </w:tabs>
        <w:jc w:val="both"/>
        <w:rPr>
          <w:rFonts w:asciiTheme="majorBidi" w:hAnsiTheme="majorBidi" w:cstheme="majorBidi"/>
        </w:rPr>
      </w:pPr>
      <w:r w:rsidRPr="0041294C">
        <w:rPr>
          <w:rFonts w:asciiTheme="majorBidi" w:hAnsiTheme="majorBidi" w:cstheme="majorBidi"/>
          <w:b/>
          <w:bCs/>
        </w:rPr>
        <w:t>Objectifs méthodologiques</w:t>
      </w:r>
      <w:r w:rsidRPr="0041294C">
        <w:rPr>
          <w:rFonts w:asciiTheme="majorBidi" w:hAnsiTheme="majorBidi" w:cstheme="majorBidi"/>
        </w:rPr>
        <w:t xml:space="preserve"> (savoir-faire) : </w:t>
      </w:r>
    </w:p>
    <w:p w:rsidR="00CC14F7" w:rsidRPr="0041294C" w:rsidRDefault="00CC14F7" w:rsidP="00CC14F7">
      <w:pPr>
        <w:tabs>
          <w:tab w:val="left" w:pos="3383"/>
        </w:tabs>
        <w:jc w:val="both"/>
        <w:rPr>
          <w:rFonts w:asciiTheme="majorBidi" w:hAnsiTheme="majorBidi" w:cstheme="majorBidi"/>
        </w:rPr>
      </w:pPr>
      <w:r w:rsidRPr="0041294C">
        <w:rPr>
          <w:rFonts w:asciiTheme="majorBidi" w:hAnsiTheme="majorBidi" w:cstheme="majorBidi"/>
        </w:rPr>
        <w:t xml:space="preserve">- Conduire un entretien clinique en respectant les principes méthodologiques et éthiques.  </w:t>
      </w:r>
    </w:p>
    <w:p w:rsidR="00CC14F7" w:rsidRPr="0041294C" w:rsidRDefault="00CC14F7" w:rsidP="00CC14F7">
      <w:pPr>
        <w:tabs>
          <w:tab w:val="left" w:pos="3383"/>
        </w:tabs>
        <w:jc w:val="both"/>
        <w:rPr>
          <w:rFonts w:asciiTheme="majorBidi" w:hAnsiTheme="majorBidi" w:cstheme="majorBidi"/>
        </w:rPr>
      </w:pPr>
      <w:r w:rsidRPr="0041294C">
        <w:rPr>
          <w:rFonts w:asciiTheme="majorBidi" w:hAnsiTheme="majorBidi" w:cstheme="majorBidi"/>
        </w:rPr>
        <w:t xml:space="preserve">- Analyser et synthétiser un cas clinique en mobilisant des outils appropriés (tests, observations, récits).  </w:t>
      </w:r>
    </w:p>
    <w:p w:rsidR="00B875C1" w:rsidRDefault="00CC14F7" w:rsidP="00CC14F7">
      <w:r w:rsidRPr="0041294C">
        <w:rPr>
          <w:rFonts w:asciiTheme="majorBidi" w:hAnsiTheme="majorBidi" w:cstheme="majorBidi"/>
        </w:rPr>
        <w:t xml:space="preserve">- Élaborer une étude de cas en tenant compte </w:t>
      </w:r>
      <w:proofErr w:type="gramStart"/>
      <w:r w:rsidRPr="0041294C">
        <w:rPr>
          <w:rFonts w:asciiTheme="majorBidi" w:hAnsiTheme="majorBidi" w:cstheme="majorBidi"/>
        </w:rPr>
        <w:t>des invariants</w:t>
      </w:r>
      <w:proofErr w:type="gramEnd"/>
      <w:r w:rsidRPr="0041294C">
        <w:rPr>
          <w:rFonts w:asciiTheme="majorBidi" w:hAnsiTheme="majorBidi" w:cstheme="majorBidi"/>
        </w:rPr>
        <w:t xml:space="preserve"> cliniques : singularité, totalité, histoire et transfert.</w:t>
      </w:r>
    </w:p>
    <w:sectPr w:rsidR="00B875C1" w:rsidSect="00CC14F7">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CC14F7"/>
    <w:rsid w:val="008620E6"/>
    <w:rsid w:val="00A26D5D"/>
    <w:rsid w:val="00CC14F7"/>
    <w:rsid w:val="00E03C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1193</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2024-11-30T17:15:00Z</dcterms:created>
  <dcterms:modified xsi:type="dcterms:W3CDTF">2024-11-30T17:15:00Z</dcterms:modified>
</cp:coreProperties>
</file>