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2C" w:rsidRPr="00F30510" w:rsidRDefault="00E0222C" w:rsidP="00F30510">
      <w:pPr>
        <w:spacing w:after="0"/>
        <w:jc w:val="center"/>
        <w:rPr>
          <w:rFonts w:asciiTheme="majorBidi" w:hAnsiTheme="majorBidi" w:cstheme="majorBidi"/>
          <w:b/>
          <w:bCs/>
          <w:i/>
          <w:iCs/>
          <w:sz w:val="40"/>
          <w:szCs w:val="40"/>
        </w:rPr>
      </w:pPr>
      <w:r w:rsidRPr="00F30510">
        <w:rPr>
          <w:rFonts w:asciiTheme="majorBidi" w:hAnsiTheme="majorBidi" w:cstheme="majorBidi"/>
          <w:b/>
          <w:bCs/>
          <w:i/>
          <w:iCs/>
          <w:sz w:val="40"/>
          <w:szCs w:val="40"/>
        </w:rPr>
        <w:t>Le patrimoine culturel </w:t>
      </w:r>
      <w:r w:rsidR="00541A57">
        <w:rPr>
          <w:rFonts w:asciiTheme="majorBidi" w:hAnsiTheme="majorBidi" w:cstheme="majorBidi"/>
          <w:b/>
          <w:bCs/>
          <w:i/>
          <w:iCs/>
          <w:sz w:val="40"/>
          <w:szCs w:val="40"/>
        </w:rPr>
        <w:t>et la communication traditionnelle</w:t>
      </w:r>
    </w:p>
    <w:p w:rsidR="00E0222C" w:rsidRPr="00F30510" w:rsidRDefault="00E0222C" w:rsidP="00F30510">
      <w:pPr>
        <w:spacing w:after="0"/>
        <w:jc w:val="center"/>
        <w:rPr>
          <w:rFonts w:asciiTheme="majorBidi" w:hAnsiTheme="majorBidi" w:cstheme="majorBidi"/>
          <w:b/>
          <w:bCs/>
          <w:i/>
          <w:iCs/>
          <w:sz w:val="28"/>
          <w:szCs w:val="28"/>
        </w:rPr>
      </w:pPr>
    </w:p>
    <w:p w:rsidR="00141342" w:rsidRPr="0089450B" w:rsidRDefault="00141342"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I. définition du patrimoine culturel :</w:t>
      </w:r>
    </w:p>
    <w:p w:rsidR="001C224E" w:rsidRPr="0089450B" w:rsidRDefault="001C224E" w:rsidP="000A2B4E">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Etymologiquement, le mot </w:t>
      </w:r>
      <w:r w:rsidR="000A2B4E">
        <w:rPr>
          <w:rFonts w:asciiTheme="majorBidi" w:hAnsiTheme="majorBidi" w:cstheme="majorBidi"/>
          <w:sz w:val="28"/>
          <w:szCs w:val="28"/>
        </w:rPr>
        <w:t>p</w:t>
      </w:r>
      <w:r w:rsidRPr="0089450B">
        <w:rPr>
          <w:rFonts w:asciiTheme="majorBidi" w:hAnsiTheme="majorBidi" w:cstheme="majorBidi"/>
          <w:sz w:val="28"/>
          <w:szCs w:val="28"/>
        </w:rPr>
        <w:t>atrimoine dérive du latin « Patrimonium »  et désigne les biens matériels qu'un individu tient, par héritage, de ses ascendants et qu'il transmet à ses descendants.</w:t>
      </w:r>
      <w:r w:rsidRPr="0089450B">
        <w:rPr>
          <w:rStyle w:val="Appelnotedebasdep"/>
          <w:rFonts w:asciiTheme="majorBidi" w:hAnsiTheme="majorBidi" w:cstheme="majorBidi"/>
          <w:sz w:val="28"/>
          <w:szCs w:val="28"/>
        </w:rPr>
        <w:footnoteReference w:id="2"/>
      </w:r>
    </w:p>
    <w:p w:rsidR="00FB25A1" w:rsidRPr="0089450B" w:rsidRDefault="001C224E"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 </w:t>
      </w:r>
      <w:r w:rsidR="00107113" w:rsidRPr="0089450B">
        <w:rPr>
          <w:rFonts w:asciiTheme="majorBidi" w:hAnsiTheme="majorBidi" w:cstheme="majorBidi"/>
          <w:sz w:val="28"/>
          <w:szCs w:val="28"/>
        </w:rPr>
        <w:t xml:space="preserve">Selon l’UNESCO, </w:t>
      </w:r>
      <w:r w:rsidR="00FB25A1" w:rsidRPr="0089450B">
        <w:rPr>
          <w:rFonts w:asciiTheme="majorBidi" w:hAnsiTheme="majorBidi" w:cstheme="majorBidi"/>
          <w:sz w:val="28"/>
          <w:szCs w:val="28"/>
        </w:rPr>
        <w:t xml:space="preserve">il y a des choses que nous considérons important de préserver pour les générations futures. Leur importance peut tenir à leur valeur économique actuelle ou potentielle, ou encore à une certaine émotion qu’elles éveillent en nous, ou au sentiment qu’elles nous donnent de notre appartenance à quelque chose – à un pays, une tradition, un mode de vie. Il peut s’agir d’objets qui tiennent dans la main comme de bâtiments à visiter, ou de chansons à chanter et d’histoires à raconter. </w:t>
      </w:r>
      <w:r w:rsidR="00FB25A1" w:rsidRPr="0089450B">
        <w:rPr>
          <w:rStyle w:val="Appelnotedebasdep"/>
          <w:rFonts w:asciiTheme="majorBidi" w:hAnsiTheme="majorBidi" w:cstheme="majorBidi"/>
          <w:sz w:val="28"/>
          <w:szCs w:val="28"/>
        </w:rPr>
        <w:footnoteReference w:id="3"/>
      </w:r>
    </w:p>
    <w:p w:rsidR="00774195" w:rsidRPr="0089450B" w:rsidRDefault="00FB25A1"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Ainsi, </w:t>
      </w:r>
      <w:r w:rsidR="00107113" w:rsidRPr="0089450B">
        <w:rPr>
          <w:rFonts w:asciiTheme="majorBidi" w:hAnsiTheme="majorBidi" w:cstheme="majorBidi"/>
          <w:sz w:val="28"/>
          <w:szCs w:val="28"/>
        </w:rPr>
        <w:t>l</w:t>
      </w:r>
      <w:r w:rsidR="00774195" w:rsidRPr="0089450B">
        <w:rPr>
          <w:rFonts w:asciiTheme="majorBidi" w:hAnsiTheme="majorBidi" w:cstheme="majorBidi"/>
          <w:sz w:val="28"/>
          <w:szCs w:val="28"/>
        </w:rPr>
        <w:t>e patrimoine culturel est, dans son sens le plus large, à la fois un produit et un processus qui fournit aux sociétés un ensemble de ressources héritées du passé, créées dans le présent et mises à disposition pour le bénéfice des générations futures. Il comprend non seulement le patrimoine matériel, mais aussi le patrimoine naturel et immatériel.</w:t>
      </w:r>
    </w:p>
    <w:p w:rsidR="00774195" w:rsidRPr="0089450B" w:rsidRDefault="00774195"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Néanmoins, […] ces ressources constituent des « richesses </w:t>
      </w:r>
      <w:r w:rsidR="00DC473D" w:rsidRPr="0089450B">
        <w:rPr>
          <w:rFonts w:asciiTheme="majorBidi" w:hAnsiTheme="majorBidi" w:cstheme="majorBidi"/>
          <w:sz w:val="28"/>
          <w:szCs w:val="28"/>
        </w:rPr>
        <w:t xml:space="preserve">fragiles » et </w:t>
      </w:r>
      <w:r w:rsidRPr="0089450B">
        <w:rPr>
          <w:rFonts w:asciiTheme="majorBidi" w:hAnsiTheme="majorBidi" w:cstheme="majorBidi"/>
          <w:sz w:val="28"/>
          <w:szCs w:val="28"/>
        </w:rPr>
        <w:t>nécessitent comme telles des politiques et des modèles de développement qui préservent et respectent la diversité et le caractère unique du patrimoine culturel, car une fois perdues, elles ne sont pas renouvelables.</w:t>
      </w:r>
      <w:r w:rsidR="00061A45" w:rsidRPr="0089450B">
        <w:rPr>
          <w:rStyle w:val="Appelnotedebasdep"/>
          <w:rFonts w:asciiTheme="majorBidi" w:hAnsiTheme="majorBidi" w:cstheme="majorBidi"/>
          <w:sz w:val="28"/>
          <w:szCs w:val="28"/>
        </w:rPr>
        <w:footnoteReference w:id="4"/>
      </w:r>
    </w:p>
    <w:p w:rsidR="00E0222C" w:rsidRPr="0089450B" w:rsidRDefault="00E0222C"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Le patrimoine culturel dans son ensemble recouvre plusieurs grandes catégories de patrimoine :</w:t>
      </w:r>
    </w:p>
    <w:p w:rsidR="00E0222C" w:rsidRPr="0089450B" w:rsidRDefault="00E0222C" w:rsidP="00F30510">
      <w:pPr>
        <w:spacing w:after="0"/>
        <w:jc w:val="both"/>
        <w:rPr>
          <w:rFonts w:asciiTheme="majorBidi" w:hAnsiTheme="majorBidi" w:cstheme="majorBidi"/>
          <w:sz w:val="28"/>
          <w:szCs w:val="28"/>
        </w:rPr>
      </w:pPr>
      <w:r w:rsidRPr="0089450B">
        <w:rPr>
          <w:rFonts w:asciiTheme="majorBidi" w:hAnsiTheme="majorBidi" w:cstheme="majorBidi"/>
          <w:noProof/>
          <w:sz w:val="28"/>
          <w:szCs w:val="28"/>
        </w:rPr>
        <w:lastRenderedPageBreak/>
        <w:drawing>
          <wp:inline distT="0" distB="0" distL="0" distR="0">
            <wp:extent cx="5752465" cy="4391025"/>
            <wp:effectExtent l="19050" t="0" r="63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52465" cy="4391025"/>
                    </a:xfrm>
                    <a:prstGeom prst="rect">
                      <a:avLst/>
                    </a:prstGeom>
                    <a:noFill/>
                    <a:ln w="9525">
                      <a:noFill/>
                      <a:miter lim="800000"/>
                      <a:headEnd/>
                      <a:tailEnd/>
                    </a:ln>
                  </pic:spPr>
                </pic:pic>
              </a:graphicData>
            </a:graphic>
          </wp:inline>
        </w:drawing>
      </w:r>
    </w:p>
    <w:p w:rsidR="00E0222C" w:rsidRPr="0089450B" w:rsidRDefault="005A5867" w:rsidP="00F30510">
      <w:pPr>
        <w:spacing w:after="0"/>
        <w:jc w:val="both"/>
        <w:rPr>
          <w:rFonts w:asciiTheme="majorBidi" w:hAnsiTheme="majorBidi" w:cstheme="majorBidi"/>
          <w:sz w:val="28"/>
          <w:szCs w:val="28"/>
        </w:rPr>
      </w:pPr>
      <w:r w:rsidRPr="0089450B">
        <w:rPr>
          <w:rFonts w:asciiTheme="majorBidi" w:hAnsiTheme="majorBidi" w:cstheme="majorBidi"/>
          <w:b/>
          <w:bCs/>
          <w:sz w:val="28"/>
          <w:szCs w:val="28"/>
        </w:rPr>
        <w:t>Schéma</w:t>
      </w:r>
      <w:r w:rsidR="00E0222C" w:rsidRPr="0089450B">
        <w:rPr>
          <w:rFonts w:asciiTheme="majorBidi" w:hAnsiTheme="majorBidi" w:cstheme="majorBidi"/>
          <w:b/>
          <w:bCs/>
          <w:sz w:val="28"/>
          <w:szCs w:val="28"/>
        </w:rPr>
        <w:t xml:space="preserve"> n°1</w:t>
      </w:r>
      <w:r w:rsidR="00E0222C" w:rsidRPr="0089450B">
        <w:rPr>
          <w:rFonts w:asciiTheme="majorBidi" w:hAnsiTheme="majorBidi" w:cstheme="majorBidi"/>
          <w:sz w:val="28"/>
          <w:szCs w:val="28"/>
        </w:rPr>
        <w:t> : Les types du patrimoine culturel.</w:t>
      </w:r>
      <w:r w:rsidR="00E0222C" w:rsidRPr="0089450B">
        <w:rPr>
          <w:rStyle w:val="Appelnotedebasdep"/>
          <w:rFonts w:asciiTheme="majorBidi" w:hAnsiTheme="majorBidi" w:cstheme="majorBidi"/>
          <w:b/>
          <w:bCs/>
          <w:sz w:val="28"/>
          <w:szCs w:val="28"/>
        </w:rPr>
        <w:footnoteReference w:id="5"/>
      </w:r>
    </w:p>
    <w:p w:rsidR="00F30510" w:rsidRPr="0089450B" w:rsidRDefault="00F30510" w:rsidP="00F30510">
      <w:pPr>
        <w:spacing w:after="0"/>
        <w:jc w:val="both"/>
        <w:rPr>
          <w:rFonts w:asciiTheme="majorBidi" w:hAnsiTheme="majorBidi" w:cstheme="majorBidi"/>
          <w:b/>
          <w:bCs/>
          <w:sz w:val="28"/>
          <w:szCs w:val="28"/>
        </w:rPr>
      </w:pPr>
    </w:p>
    <w:p w:rsidR="00E0222C" w:rsidRPr="0089450B" w:rsidRDefault="00FC50A2" w:rsidP="00F30510">
      <w:pPr>
        <w:spacing w:after="0"/>
        <w:jc w:val="both"/>
        <w:rPr>
          <w:rFonts w:asciiTheme="majorBidi" w:hAnsiTheme="majorBidi" w:cstheme="majorBidi"/>
          <w:sz w:val="28"/>
          <w:szCs w:val="28"/>
        </w:rPr>
      </w:pPr>
      <w:r w:rsidRPr="0089450B">
        <w:rPr>
          <w:rFonts w:asciiTheme="majorBidi" w:hAnsiTheme="majorBidi" w:cstheme="majorBidi"/>
          <w:b/>
          <w:bCs/>
          <w:sz w:val="28"/>
          <w:szCs w:val="28"/>
        </w:rPr>
        <w:t xml:space="preserve">II. </w:t>
      </w:r>
      <w:r w:rsidR="00A80819" w:rsidRPr="0089450B">
        <w:rPr>
          <w:rFonts w:asciiTheme="majorBidi" w:hAnsiTheme="majorBidi" w:cstheme="majorBidi"/>
          <w:b/>
          <w:bCs/>
          <w:sz w:val="28"/>
          <w:szCs w:val="28"/>
        </w:rPr>
        <w:t>Définition du patrimoine culturel et naturel subaquatique :</w:t>
      </w:r>
      <w:r w:rsidR="00A80819" w:rsidRPr="0089450B">
        <w:rPr>
          <w:rFonts w:asciiTheme="majorBidi" w:hAnsiTheme="majorBidi" w:cstheme="majorBidi"/>
          <w:sz w:val="28"/>
          <w:szCs w:val="28"/>
        </w:rPr>
        <w:t xml:space="preserve"> désigne « toutes les traces d’existence humaine présentant un caractère culturel, historique ou archéologique et qui sont partiellement ou totalement sous l’eau, périodiquement ou de façon continue, depuis au moins 100 ans, par exemple : a) les sites, structures, bâtiments, objets ou restes humains, ainsi que leur contexte archéologique et naturel ; b) les navires, aéronefs, autres véhicules ou parties de véhicules, leur cargaison ou autres contenus, ainsi que leur contexte archéologique et naturel ; et c) les objets de caractère préhistorique. »</w:t>
      </w:r>
      <w:r w:rsidR="00A80819" w:rsidRPr="0089450B">
        <w:rPr>
          <w:rStyle w:val="Appelnotedebasdep"/>
          <w:rFonts w:asciiTheme="majorBidi" w:hAnsiTheme="majorBidi" w:cstheme="majorBidi"/>
          <w:sz w:val="28"/>
          <w:szCs w:val="28"/>
        </w:rPr>
        <w:footnoteReference w:id="6"/>
      </w:r>
    </w:p>
    <w:p w:rsidR="00F30510" w:rsidRPr="0089450B" w:rsidRDefault="00F30510" w:rsidP="00F30510">
      <w:pPr>
        <w:spacing w:after="0"/>
        <w:jc w:val="both"/>
        <w:rPr>
          <w:rFonts w:asciiTheme="majorBidi" w:hAnsiTheme="majorBidi" w:cstheme="majorBidi"/>
          <w:b/>
          <w:bCs/>
          <w:sz w:val="28"/>
          <w:szCs w:val="28"/>
        </w:rPr>
      </w:pPr>
    </w:p>
    <w:p w:rsidR="00E0222C" w:rsidRPr="0089450B" w:rsidRDefault="00FC50A2"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 xml:space="preserve">III. </w:t>
      </w:r>
      <w:r w:rsidR="00E0222C" w:rsidRPr="0089450B">
        <w:rPr>
          <w:rFonts w:asciiTheme="majorBidi" w:hAnsiTheme="majorBidi" w:cstheme="majorBidi"/>
          <w:b/>
          <w:bCs/>
          <w:sz w:val="28"/>
          <w:szCs w:val="28"/>
        </w:rPr>
        <w:t>Définition du patrimoine culturel immatériel :</w:t>
      </w:r>
    </w:p>
    <w:p w:rsidR="00E0222C" w:rsidRPr="0089450B" w:rsidRDefault="00E0222C" w:rsidP="00F30510">
      <w:pPr>
        <w:pStyle w:val="wiki-text"/>
        <w:shd w:val="clear" w:color="auto" w:fill="FFFFFF"/>
        <w:spacing w:before="0" w:beforeAutospacing="0" w:after="0" w:afterAutospacing="0" w:line="276" w:lineRule="auto"/>
        <w:jc w:val="both"/>
        <w:rPr>
          <w:rFonts w:asciiTheme="majorBidi" w:hAnsiTheme="majorBidi" w:cstheme="majorBidi"/>
          <w:sz w:val="28"/>
          <w:szCs w:val="28"/>
        </w:rPr>
      </w:pPr>
      <w:r w:rsidRPr="0089450B">
        <w:rPr>
          <w:rFonts w:asciiTheme="majorBidi" w:hAnsiTheme="majorBidi" w:cstheme="majorBidi"/>
          <w:sz w:val="28"/>
          <w:szCs w:val="28"/>
        </w:rPr>
        <w:t xml:space="preserve">Selon la Convention pour la sauvegarde du patrimoine culturel immatériel, on entend par “patrimoine culturel immatériel” les pratiques, représentations, </w:t>
      </w:r>
      <w:r w:rsidRPr="0089450B">
        <w:rPr>
          <w:rFonts w:asciiTheme="majorBidi" w:hAnsiTheme="majorBidi" w:cstheme="majorBidi"/>
          <w:sz w:val="28"/>
          <w:szCs w:val="28"/>
        </w:rPr>
        <w:lastRenderedPageBreak/>
        <w:t>expressions, connaissances et savoir-faire - ainsi que les instruments, objets, artefacts et espaces culturels qui leur sont associés - que les communautés, les groupes et, le cas échéant, les individus reconnaissent comme faisant partie de leur patrimoine culturel. Ce patrimoine culturel immatériel, transmis de génération en génération, est recréé en permanence par les communautés et groupes en fonction de leur milieu, de leur interaction avec la nature et de leur histoire, et leur procure un sentiment d’identité et de continuité, contribuant ainsi à promouvoir le respect de la diversité culturelle et la créativité humaine.</w:t>
      </w:r>
    </w:p>
    <w:p w:rsidR="00E0222C" w:rsidRPr="0089450B" w:rsidRDefault="00E0222C" w:rsidP="00F30510">
      <w:pPr>
        <w:pStyle w:val="wiki-text"/>
        <w:shd w:val="clear" w:color="auto" w:fill="FFFFFF"/>
        <w:spacing w:before="0" w:beforeAutospacing="0" w:after="0" w:afterAutospacing="0" w:line="276" w:lineRule="auto"/>
        <w:jc w:val="both"/>
        <w:rPr>
          <w:rFonts w:asciiTheme="majorBidi" w:hAnsiTheme="majorBidi" w:cstheme="majorBidi"/>
          <w:sz w:val="28"/>
          <w:szCs w:val="28"/>
        </w:rPr>
      </w:pPr>
      <w:r w:rsidRPr="0089450B">
        <w:rPr>
          <w:rFonts w:asciiTheme="majorBidi" w:hAnsiTheme="majorBidi" w:cstheme="majorBidi"/>
          <w:sz w:val="28"/>
          <w:szCs w:val="28"/>
        </w:rPr>
        <w:t>Le patrimoine culturel immatériel, tel qu’il est défini au paragraphe ci-dessus, se manifeste notamment dans les domaines suivants :</w:t>
      </w:r>
      <w:r w:rsidRPr="0089450B">
        <w:rPr>
          <w:rFonts w:asciiTheme="majorBidi" w:hAnsiTheme="majorBidi" w:cstheme="majorBidi"/>
          <w:sz w:val="28"/>
          <w:szCs w:val="28"/>
        </w:rPr>
        <w:br/>
        <w:t>- les traditions et expressions orales, y compris la langue comme vecteur du patrimoine culturel immatériel ;</w:t>
      </w:r>
      <w:r w:rsidRPr="0089450B">
        <w:rPr>
          <w:rFonts w:asciiTheme="majorBidi" w:hAnsiTheme="majorBidi" w:cstheme="majorBidi"/>
          <w:sz w:val="28"/>
          <w:szCs w:val="28"/>
        </w:rPr>
        <w:br/>
        <w:t>- les arts du spectacle ;</w:t>
      </w:r>
      <w:r w:rsidRPr="0089450B">
        <w:rPr>
          <w:rFonts w:asciiTheme="majorBidi" w:hAnsiTheme="majorBidi" w:cstheme="majorBidi"/>
          <w:sz w:val="28"/>
          <w:szCs w:val="28"/>
        </w:rPr>
        <w:br/>
        <w:t>- les pratiques sociales, rituels et événements festifs ;</w:t>
      </w:r>
      <w:r w:rsidRPr="0089450B">
        <w:rPr>
          <w:rFonts w:asciiTheme="majorBidi" w:hAnsiTheme="majorBidi" w:cstheme="majorBidi"/>
          <w:sz w:val="28"/>
          <w:szCs w:val="28"/>
        </w:rPr>
        <w:br/>
        <w:t>- les connaissances et pratiques concernant la nature et l’univers ;</w:t>
      </w:r>
      <w:r w:rsidRPr="0089450B">
        <w:rPr>
          <w:rFonts w:asciiTheme="majorBidi" w:hAnsiTheme="majorBidi" w:cstheme="majorBidi"/>
          <w:sz w:val="28"/>
          <w:szCs w:val="28"/>
        </w:rPr>
        <w:br/>
        <w:t>- les savoir-faire liés à l’artisanat traditionnel.</w:t>
      </w:r>
      <w:r w:rsidRPr="0089450B">
        <w:rPr>
          <w:rStyle w:val="Appelnotedebasdep"/>
          <w:rFonts w:asciiTheme="majorBidi" w:hAnsiTheme="majorBidi" w:cstheme="majorBidi"/>
          <w:sz w:val="28"/>
          <w:szCs w:val="28"/>
        </w:rPr>
        <w:footnoteReference w:id="7"/>
      </w:r>
    </w:p>
    <w:p w:rsidR="00F30510" w:rsidRPr="0089450B" w:rsidRDefault="00F30510" w:rsidP="00F30510">
      <w:pPr>
        <w:shd w:val="clear" w:color="auto" w:fill="FFFFFF"/>
        <w:spacing w:after="0"/>
        <w:jc w:val="both"/>
        <w:rPr>
          <w:rFonts w:asciiTheme="majorBidi" w:hAnsiTheme="majorBidi" w:cstheme="majorBidi"/>
          <w:b/>
          <w:bCs/>
          <w:sz w:val="28"/>
          <w:szCs w:val="28"/>
        </w:rPr>
      </w:pPr>
    </w:p>
    <w:p w:rsidR="00E0222C" w:rsidRPr="0089450B" w:rsidRDefault="00FC50A2" w:rsidP="00F30510">
      <w:pPr>
        <w:shd w:val="clear" w:color="auto" w:fill="FFFFFF"/>
        <w:spacing w:after="0"/>
        <w:jc w:val="both"/>
        <w:rPr>
          <w:rFonts w:asciiTheme="majorBidi" w:eastAsia="Times New Roman" w:hAnsiTheme="majorBidi" w:cstheme="majorBidi"/>
          <w:b/>
          <w:bCs/>
          <w:sz w:val="28"/>
          <w:szCs w:val="28"/>
        </w:rPr>
      </w:pPr>
      <w:r w:rsidRPr="0089450B">
        <w:rPr>
          <w:rFonts w:asciiTheme="majorBidi" w:hAnsiTheme="majorBidi" w:cstheme="majorBidi"/>
          <w:b/>
          <w:bCs/>
          <w:sz w:val="28"/>
          <w:szCs w:val="28"/>
        </w:rPr>
        <w:t xml:space="preserve">III. 1. </w:t>
      </w:r>
      <w:r w:rsidR="00E0222C" w:rsidRPr="0089450B">
        <w:rPr>
          <w:rFonts w:asciiTheme="majorBidi" w:eastAsia="Times New Roman" w:hAnsiTheme="majorBidi" w:cstheme="majorBidi"/>
          <w:b/>
          <w:bCs/>
          <w:sz w:val="28"/>
          <w:szCs w:val="28"/>
        </w:rPr>
        <w:t>Les caractéristiques du patrimoine culturel immatériel :</w:t>
      </w:r>
    </w:p>
    <w:p w:rsidR="00E0222C" w:rsidRPr="0089450B" w:rsidRDefault="00E0222C" w:rsidP="00F30510">
      <w:pPr>
        <w:shd w:val="clear" w:color="auto" w:fill="FFFFFF"/>
        <w:spacing w:after="0"/>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Le patrimoine culturel immatériel est :</w:t>
      </w:r>
    </w:p>
    <w:p w:rsidR="00E0222C" w:rsidRPr="0089450B" w:rsidRDefault="00E0222C" w:rsidP="00F30510">
      <w:pPr>
        <w:numPr>
          <w:ilvl w:val="0"/>
          <w:numId w:val="1"/>
        </w:numPr>
        <w:spacing w:before="100" w:beforeAutospacing="1" w:after="0"/>
        <w:ind w:left="0"/>
        <w:jc w:val="both"/>
        <w:rPr>
          <w:rFonts w:asciiTheme="majorBidi" w:eastAsia="Times New Roman" w:hAnsiTheme="majorBidi" w:cstheme="majorBidi"/>
          <w:sz w:val="28"/>
          <w:szCs w:val="28"/>
        </w:rPr>
      </w:pPr>
      <w:r w:rsidRPr="0089450B">
        <w:rPr>
          <w:rFonts w:asciiTheme="majorBidi" w:eastAsia="Times New Roman" w:hAnsiTheme="majorBidi" w:cstheme="majorBidi"/>
          <w:b/>
          <w:bCs/>
          <w:sz w:val="28"/>
          <w:szCs w:val="28"/>
        </w:rPr>
        <w:t>Traditionnel, contemporain et vivant à la fois</w:t>
      </w:r>
      <w:r w:rsidRPr="0089450B">
        <w:rPr>
          <w:rFonts w:asciiTheme="majorBidi" w:eastAsia="Times New Roman" w:hAnsiTheme="majorBidi" w:cstheme="majorBidi"/>
          <w:sz w:val="28"/>
          <w:szCs w:val="28"/>
        </w:rPr>
        <w:t> : le patrimoine culturel immatériel ne comprend pas seulement les traditions héritées du passé, mais aussi les pratiques rurales et urbaines contemporaines, propres à divers groupes culturels.</w:t>
      </w:r>
    </w:p>
    <w:p w:rsidR="00E0222C" w:rsidRPr="0089450B" w:rsidRDefault="00E0222C" w:rsidP="00F30510">
      <w:pPr>
        <w:numPr>
          <w:ilvl w:val="0"/>
          <w:numId w:val="1"/>
        </w:numPr>
        <w:spacing w:before="100" w:beforeAutospacing="1" w:after="0"/>
        <w:ind w:left="0"/>
        <w:jc w:val="both"/>
        <w:rPr>
          <w:rFonts w:asciiTheme="majorBidi" w:eastAsia="Times New Roman" w:hAnsiTheme="majorBidi" w:cstheme="majorBidi"/>
          <w:sz w:val="28"/>
          <w:szCs w:val="28"/>
        </w:rPr>
      </w:pPr>
      <w:r w:rsidRPr="0089450B">
        <w:rPr>
          <w:rFonts w:asciiTheme="majorBidi" w:eastAsia="Times New Roman" w:hAnsiTheme="majorBidi" w:cstheme="majorBidi"/>
          <w:b/>
          <w:bCs/>
          <w:sz w:val="28"/>
          <w:szCs w:val="28"/>
        </w:rPr>
        <w:t>Inclusif</w:t>
      </w:r>
      <w:r w:rsidRPr="0089450B">
        <w:rPr>
          <w:rFonts w:asciiTheme="majorBidi" w:eastAsia="Times New Roman" w:hAnsiTheme="majorBidi" w:cstheme="majorBidi"/>
          <w:sz w:val="28"/>
          <w:szCs w:val="28"/>
        </w:rPr>
        <w:t xml:space="preserve"> : des expressions de notre patrimoine culturel immatériel peuvent être similaires à celles pratiquées par d’autres. Qu’elles viennent du village voisin, d’une ville à l’autre bout du monde ou qu’elles aient été adaptées par des peuples qui ont émigré et se sont installés dans une autre région, elles font toutes partie du patrimoine culturel immatériel en ce sens qu’elles ont été transmises de génération en génération, qu’elles ont évolué en réaction à leur environnement et qu’elles contribuent à nous procurer un sentiment d’identité et de continuité, établissant un lien entre notre passé et, à travers le présent, notre futur. Le patrimoine culturel immatériel ne soulève pas la question de la spécificité ou de la non-spécificité de certaines pratiques par rapport à une culture. Il contribue à la cohésion sociale, stimulant un sentiment d’identité et de responsabilité qui </w:t>
      </w:r>
      <w:r w:rsidRPr="0089450B">
        <w:rPr>
          <w:rFonts w:asciiTheme="majorBidi" w:eastAsia="Times New Roman" w:hAnsiTheme="majorBidi" w:cstheme="majorBidi"/>
          <w:sz w:val="28"/>
          <w:szCs w:val="28"/>
        </w:rPr>
        <w:lastRenderedPageBreak/>
        <w:t>aide les individus à se sentir partie d’une ou plusieurs communautés et de la société au sens large.</w:t>
      </w:r>
    </w:p>
    <w:p w:rsidR="00E0222C" w:rsidRPr="0089450B" w:rsidRDefault="00E0222C" w:rsidP="00F30510">
      <w:pPr>
        <w:numPr>
          <w:ilvl w:val="0"/>
          <w:numId w:val="1"/>
        </w:numPr>
        <w:spacing w:before="100" w:beforeAutospacing="1" w:after="0"/>
        <w:ind w:left="0"/>
        <w:jc w:val="both"/>
        <w:rPr>
          <w:rFonts w:asciiTheme="majorBidi" w:eastAsia="Times New Roman" w:hAnsiTheme="majorBidi" w:cstheme="majorBidi"/>
          <w:sz w:val="28"/>
          <w:szCs w:val="28"/>
        </w:rPr>
      </w:pPr>
      <w:r w:rsidRPr="0089450B">
        <w:rPr>
          <w:rFonts w:asciiTheme="majorBidi" w:eastAsia="Times New Roman" w:hAnsiTheme="majorBidi" w:cstheme="majorBidi"/>
          <w:b/>
          <w:bCs/>
          <w:sz w:val="28"/>
          <w:szCs w:val="28"/>
        </w:rPr>
        <w:t>Représentatif</w:t>
      </w:r>
      <w:r w:rsidRPr="0089450B">
        <w:rPr>
          <w:rFonts w:asciiTheme="majorBidi" w:eastAsia="Times New Roman" w:hAnsiTheme="majorBidi" w:cstheme="majorBidi"/>
          <w:sz w:val="28"/>
          <w:szCs w:val="28"/>
        </w:rPr>
        <w:t> : le patrimoine culturel immatériel n’est pas seulement apprécié en tant que bien culturel, à titre comparatif, pour son caractère exclusif ou sa valeur exceptionnelle. Il se développe à partir de son enracinement dans les communautés et dépend de ceux dont la connaissance des traditions, des savoir-faire et des coutumes est transmise au reste de la communauté, de génération en génération, ou à d’autres communautés.</w:t>
      </w:r>
    </w:p>
    <w:p w:rsidR="00E0222C" w:rsidRPr="0089450B" w:rsidRDefault="00E0222C" w:rsidP="00F30510">
      <w:pPr>
        <w:numPr>
          <w:ilvl w:val="0"/>
          <w:numId w:val="1"/>
        </w:numPr>
        <w:spacing w:before="100" w:beforeAutospacing="1" w:after="0"/>
        <w:ind w:left="0"/>
        <w:jc w:val="both"/>
        <w:rPr>
          <w:rFonts w:asciiTheme="majorBidi" w:eastAsia="Times New Roman" w:hAnsiTheme="majorBidi" w:cstheme="majorBidi"/>
          <w:sz w:val="28"/>
          <w:szCs w:val="28"/>
        </w:rPr>
      </w:pPr>
      <w:r w:rsidRPr="0089450B">
        <w:rPr>
          <w:rFonts w:asciiTheme="majorBidi" w:eastAsia="Times New Roman" w:hAnsiTheme="majorBidi" w:cstheme="majorBidi"/>
          <w:b/>
          <w:bCs/>
          <w:sz w:val="28"/>
          <w:szCs w:val="28"/>
        </w:rPr>
        <w:t>Fondé sur les communautés</w:t>
      </w:r>
      <w:r w:rsidRPr="0089450B">
        <w:rPr>
          <w:rFonts w:asciiTheme="majorBidi" w:eastAsia="Times New Roman" w:hAnsiTheme="majorBidi" w:cstheme="majorBidi"/>
          <w:sz w:val="28"/>
          <w:szCs w:val="28"/>
        </w:rPr>
        <w:t> : le patrimoine culturel immatériel ne peut être patrimoine que lorsqu’il est reconnu comme tel par les communautés, groupes et individus qui le créent, l’entretiennent et le transmettent ; sans leur avis, personne ne peut décider à leur place si une expression ou pratique donnée fait partie de leur patrimoine.</w:t>
      </w:r>
      <w:r w:rsidRPr="0089450B">
        <w:rPr>
          <w:rStyle w:val="Appelnotedebasdep"/>
          <w:rFonts w:asciiTheme="majorBidi" w:eastAsia="Times New Roman" w:hAnsiTheme="majorBidi" w:cstheme="majorBidi"/>
          <w:sz w:val="28"/>
          <w:szCs w:val="28"/>
        </w:rPr>
        <w:footnoteReference w:id="8"/>
      </w:r>
    </w:p>
    <w:p w:rsidR="00E0222C" w:rsidRPr="0089450B" w:rsidRDefault="00E0222C" w:rsidP="00F30510">
      <w:pPr>
        <w:spacing w:after="0"/>
        <w:jc w:val="both"/>
        <w:rPr>
          <w:rFonts w:asciiTheme="majorBidi" w:hAnsiTheme="majorBidi" w:cstheme="majorBidi"/>
          <w:sz w:val="28"/>
          <w:szCs w:val="28"/>
        </w:rPr>
      </w:pPr>
    </w:p>
    <w:p w:rsidR="005E3019" w:rsidRPr="0089450B" w:rsidRDefault="00FC50A2"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 xml:space="preserve">IV. </w:t>
      </w:r>
      <w:r w:rsidR="008B4FBD" w:rsidRPr="0089450B">
        <w:rPr>
          <w:rFonts w:asciiTheme="majorBidi" w:hAnsiTheme="majorBidi" w:cstheme="majorBidi"/>
          <w:b/>
          <w:bCs/>
          <w:sz w:val="28"/>
          <w:szCs w:val="28"/>
        </w:rPr>
        <w:t>Critères pour l'évaluation de la valeur universelle exceptionnelle :</w:t>
      </w:r>
    </w:p>
    <w:p w:rsidR="000F35D0" w:rsidRPr="0089450B" w:rsidRDefault="000F35D0"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La valeur universelle exceptionnelle signifie une importance culturelle et/ou naturelle tellement exceptionnelle qu’elle transcende les frontières nationales et qu’elle présente le même caractère inestimable pour les générations actuelles et futures de l’ensemble de l’humanité. A ce titre, la protection permanente de ce patrimoine est de la plus haute importance pour la communauté internationale toute entière</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Un bien a une valeur universelle exceptionnelle si ce bien répond au moins à l’un des critères suivants. En conséquence, les biens proposés doivent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(i) représenter un chef-d’oeuvre du génie créateur humain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(ii) témoigner d’un échange d’influences considérable pendant une période donnée ou dans une aire culturelle déterminée, sur le développement de l’architecture ou de la technologie, des arts monumentaux, de la planification des villes ou de la création de paysages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(iii) apporter un témoignage unique ou du moins exceptionnel sur une tradition culturelle ou une civilisation vivante ou disparue ;</w:t>
      </w:r>
    </w:p>
    <w:p w:rsidR="00E0222C"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(iv) offrir un exemple éminent d’un type de construction ou d’ensemble architectural ou technologique ou de paysage illustrant une période ou des périodes significative(s) de l’histoire humaine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(v) être un exemple éminent d’établissement humain traditionnel, de l’utilisation traditionnelle du territoire ou de la mer, qui soit représentatif d’une culture (ou </w:t>
      </w:r>
      <w:r w:rsidRPr="0089450B">
        <w:rPr>
          <w:rFonts w:asciiTheme="majorBidi" w:hAnsiTheme="majorBidi" w:cstheme="majorBidi"/>
          <w:sz w:val="28"/>
          <w:szCs w:val="28"/>
        </w:rPr>
        <w:lastRenderedPageBreak/>
        <w:t>de cultures), ou de l’interaction humaine avec l’environnement, spécialement quand celui-ci est devenu vulnérable sous l’impact d’une mutation irréversible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(vi) être directement ou matériellement associé à des événements ou des traditions vivantes, des idées, des croyances ou des </w:t>
      </w:r>
      <w:r w:rsidR="005A5867" w:rsidRPr="0089450B">
        <w:rPr>
          <w:rFonts w:asciiTheme="majorBidi" w:hAnsiTheme="majorBidi" w:cstheme="majorBidi"/>
          <w:sz w:val="28"/>
          <w:szCs w:val="28"/>
        </w:rPr>
        <w:t>œuvres</w:t>
      </w:r>
      <w:r w:rsidRPr="0089450B">
        <w:rPr>
          <w:rFonts w:asciiTheme="majorBidi" w:hAnsiTheme="majorBidi" w:cstheme="majorBidi"/>
          <w:sz w:val="28"/>
          <w:szCs w:val="28"/>
        </w:rPr>
        <w:t xml:space="preserve"> artistiques et littéraires ayant une signification universelle exceptionnelle (le Comité considère que ce critère doit de préférence être utilisé conjointement avec d’autres critères)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(vii) représenter des phénomènes naturels remarquables ou des aires d’une beauté naturelle et d’une import</w:t>
      </w:r>
      <w:r w:rsidR="00B227AC" w:rsidRPr="0089450B">
        <w:rPr>
          <w:rFonts w:asciiTheme="majorBidi" w:hAnsiTheme="majorBidi" w:cstheme="majorBidi"/>
          <w:sz w:val="28"/>
          <w:szCs w:val="28"/>
        </w:rPr>
        <w:t xml:space="preserve">ance esthétique exceptionnelles </w:t>
      </w:r>
      <w:r w:rsidRPr="0089450B">
        <w:rPr>
          <w:rFonts w:asciiTheme="majorBidi" w:hAnsiTheme="majorBidi" w:cstheme="majorBidi"/>
          <w:sz w:val="28"/>
          <w:szCs w:val="28"/>
        </w:rPr>
        <w:t>;</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(viii) être des exemples éminemment représentatifs des grands stades de l'histoire de la terre, y compris le témoignage de la vie, de processus géologiques en cours dans le développement des formes terrestres ou d'éléments géomorphiques ou physiographiques ayant une grande signification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(ix) être des exemples éminemment représentatifs de processus écologiques et biologiques en cours dans l'évolution et le développement des écosystèmes et communautés de plantes et d'animaux terrestres, aquatiques, côtiers et marins ;</w:t>
      </w:r>
    </w:p>
    <w:p w:rsidR="008B4FBD" w:rsidRPr="0089450B" w:rsidRDefault="008B4F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(x) contenir les habitats naturels les plus représentatifs et les plus importants pour la conservation in situ de la diversité biologique, y compris ceux où survivent des espèces menacées ayant une valeur universelle exceptionnelle du point de vue de la science ou de la conservation.</w:t>
      </w:r>
      <w:r w:rsidR="005E3019" w:rsidRPr="0089450B">
        <w:rPr>
          <w:rStyle w:val="Appelnotedebasdep"/>
          <w:rFonts w:asciiTheme="majorBidi" w:hAnsiTheme="majorBidi" w:cstheme="majorBidi"/>
          <w:sz w:val="28"/>
          <w:szCs w:val="28"/>
        </w:rPr>
        <w:footnoteReference w:id="9"/>
      </w:r>
    </w:p>
    <w:p w:rsidR="00F30510" w:rsidRPr="0089450B" w:rsidRDefault="00F30510" w:rsidP="00F30510">
      <w:pPr>
        <w:spacing w:after="0"/>
        <w:jc w:val="both"/>
        <w:rPr>
          <w:rFonts w:asciiTheme="majorBidi" w:hAnsiTheme="majorBidi" w:cstheme="majorBidi"/>
          <w:b/>
          <w:bCs/>
          <w:sz w:val="28"/>
          <w:szCs w:val="28"/>
        </w:rPr>
      </w:pPr>
    </w:p>
    <w:p w:rsidR="00B227AC" w:rsidRPr="0089450B" w:rsidRDefault="00FC50A2"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V. Le patrimoine culturel en Algérie :</w:t>
      </w:r>
    </w:p>
    <w:p w:rsidR="008607BD" w:rsidRPr="0089450B" w:rsidRDefault="008607BD"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La ratification de la convention pour la protection du matrimoine mondial, culturel et naturel par l’Algérie date du 24 juin 1974. </w:t>
      </w:r>
      <w:r w:rsidRPr="0089450B">
        <w:rPr>
          <w:rStyle w:val="Appelnotedebasdep"/>
          <w:rFonts w:asciiTheme="majorBidi" w:hAnsiTheme="majorBidi" w:cstheme="majorBidi"/>
          <w:sz w:val="28"/>
          <w:szCs w:val="28"/>
        </w:rPr>
        <w:footnoteReference w:id="10"/>
      </w:r>
    </w:p>
    <w:p w:rsidR="002E63A6" w:rsidRPr="0089450B" w:rsidRDefault="002E63A6"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La loi n° 98 - 04 du 20 Safar 1419 correspondant au 15 juin 1998 relative à la protection du patrimoine culturel a pour objet de définir le patrimoine culturel de la nation, d’édicter les règles générales de sa protection, sa sauvegarde et sa mise en valeur, et de fixer les conditions de leur mise en valeur, et de fixer les conditions de leur mise en œuvre.  </w:t>
      </w:r>
    </w:p>
    <w:p w:rsidR="009619AC" w:rsidRPr="0089450B" w:rsidRDefault="002E63A6"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Selon </w:t>
      </w:r>
      <w:r w:rsidR="001C6216" w:rsidRPr="0089450B">
        <w:rPr>
          <w:rFonts w:asciiTheme="majorBidi" w:hAnsiTheme="majorBidi" w:cstheme="majorBidi"/>
          <w:sz w:val="28"/>
          <w:szCs w:val="28"/>
        </w:rPr>
        <w:t>l’article n° 2</w:t>
      </w:r>
      <w:r w:rsidRPr="0089450B">
        <w:rPr>
          <w:rFonts w:asciiTheme="majorBidi" w:hAnsiTheme="majorBidi" w:cstheme="majorBidi"/>
          <w:sz w:val="28"/>
          <w:szCs w:val="28"/>
        </w:rPr>
        <w:t xml:space="preserve"> de ladite loi, le patrimoine culturel de la nation</w:t>
      </w:r>
      <w:r w:rsidR="001C6216" w:rsidRPr="0089450B">
        <w:rPr>
          <w:rFonts w:asciiTheme="majorBidi" w:hAnsiTheme="majorBidi" w:cstheme="majorBidi"/>
          <w:sz w:val="28"/>
          <w:szCs w:val="28"/>
        </w:rPr>
        <w:t xml:space="preserve"> </w:t>
      </w:r>
      <w:r w:rsidRPr="0089450B">
        <w:rPr>
          <w:rFonts w:asciiTheme="majorBidi" w:hAnsiTheme="majorBidi" w:cstheme="majorBidi"/>
          <w:sz w:val="28"/>
          <w:szCs w:val="28"/>
        </w:rPr>
        <w:t>renvoie à</w:t>
      </w:r>
      <w:r w:rsidR="001C6216" w:rsidRPr="0089450B">
        <w:rPr>
          <w:rFonts w:asciiTheme="majorBidi" w:hAnsiTheme="majorBidi" w:cstheme="majorBidi"/>
          <w:sz w:val="28"/>
          <w:szCs w:val="28"/>
        </w:rPr>
        <w:t xml:space="preserve"> tous les biens culturels immobiliers, immobiliers par destination et mobiliers existant sur et dans le sol des immeubles du domaine national, appartenant à des personnes physiques ou morales de droit privé, ainsi que dans le sous-sol des eaux intérieures et territoriales nationales légués par les différentes civilisations qui se sont succédées de la préhistoire à nos jours. </w:t>
      </w:r>
    </w:p>
    <w:p w:rsidR="00D45E3B" w:rsidRPr="0089450B" w:rsidRDefault="009619AC"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lastRenderedPageBreak/>
        <w:t xml:space="preserve">Font également partie du patrimoine culturel de la nation, les biens culturels immatériels produits de manifestations sociales et de créations individuelles et collectives qui s’expriment depuis des temps immémoriaux à nos jours. </w:t>
      </w:r>
      <w:r w:rsidR="001C6216" w:rsidRPr="0089450B">
        <w:rPr>
          <w:rStyle w:val="Appelnotedebasdep"/>
          <w:rFonts w:asciiTheme="majorBidi" w:hAnsiTheme="majorBidi" w:cstheme="majorBidi"/>
          <w:sz w:val="28"/>
          <w:szCs w:val="28"/>
        </w:rPr>
        <w:footnoteReference w:id="11"/>
      </w:r>
      <w:r w:rsidR="001C6216" w:rsidRPr="0089450B">
        <w:rPr>
          <w:rFonts w:asciiTheme="majorBidi" w:hAnsiTheme="majorBidi" w:cstheme="majorBidi"/>
          <w:sz w:val="28"/>
          <w:szCs w:val="28"/>
        </w:rPr>
        <w:t xml:space="preserve"> </w:t>
      </w:r>
    </w:p>
    <w:p w:rsidR="00F30510" w:rsidRPr="0089450B" w:rsidRDefault="00F30510" w:rsidP="00F30510">
      <w:pPr>
        <w:spacing w:after="0"/>
        <w:jc w:val="both"/>
        <w:rPr>
          <w:rFonts w:asciiTheme="majorBidi" w:hAnsiTheme="majorBidi" w:cstheme="majorBidi"/>
          <w:sz w:val="28"/>
          <w:szCs w:val="28"/>
        </w:rPr>
      </w:pPr>
    </w:p>
    <w:p w:rsidR="00E0222C" w:rsidRPr="0089450B" w:rsidRDefault="00F30510"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 xml:space="preserve">V. 1. </w:t>
      </w:r>
      <w:r w:rsidR="00D45E3B" w:rsidRPr="0089450B">
        <w:rPr>
          <w:rFonts w:asciiTheme="majorBidi" w:hAnsiTheme="majorBidi" w:cstheme="majorBidi"/>
          <w:b/>
          <w:bCs/>
          <w:sz w:val="28"/>
          <w:szCs w:val="28"/>
        </w:rPr>
        <w:t>La liste représentative du patrimoine culturel immatériel de l’humanité provenant de l’Algérie :</w:t>
      </w:r>
    </w:p>
    <w:p w:rsidR="009619AC" w:rsidRPr="0089450B" w:rsidRDefault="00EC3CBE"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La liste représentative du patrimoine culturel immatériel de l’humanité comporte jusqu’à ce jours 10 éléments provenant de l’Algérie et dont le Rai </w:t>
      </w:r>
      <w:r w:rsidR="00FC1676" w:rsidRPr="0089450B">
        <w:rPr>
          <w:rFonts w:asciiTheme="majorBidi" w:hAnsiTheme="majorBidi" w:cstheme="majorBidi"/>
          <w:sz w:val="28"/>
          <w:szCs w:val="28"/>
        </w:rPr>
        <w:t xml:space="preserve">comme chant populaire </w:t>
      </w:r>
      <w:r w:rsidRPr="0089450B">
        <w:rPr>
          <w:rFonts w:asciiTheme="majorBidi" w:hAnsiTheme="majorBidi" w:cstheme="majorBidi"/>
          <w:sz w:val="28"/>
          <w:szCs w:val="28"/>
        </w:rPr>
        <w:t xml:space="preserve">est </w:t>
      </w:r>
      <w:r w:rsidR="00FC1676" w:rsidRPr="0089450B">
        <w:rPr>
          <w:rFonts w:asciiTheme="majorBidi" w:hAnsiTheme="majorBidi" w:cstheme="majorBidi"/>
          <w:sz w:val="28"/>
          <w:szCs w:val="28"/>
        </w:rPr>
        <w:t xml:space="preserve">le dernier patrimoine immatériel inscrit à l’occasion de la dix-septième session du Comité intergouvernemental de sauvegarde du patrimoine culturel immatériel qui a eu lieu au Royaume du Maroc à Rabat </w:t>
      </w:r>
      <w:r w:rsidR="0005357F" w:rsidRPr="0089450B">
        <w:rPr>
          <w:rFonts w:asciiTheme="majorBidi" w:hAnsiTheme="majorBidi" w:cstheme="majorBidi"/>
          <w:sz w:val="28"/>
          <w:szCs w:val="28"/>
        </w:rPr>
        <w:t>(Sofitel Rabat Jardin des Roses) du 28 novembre au 3 décembre 2022.</w:t>
      </w:r>
      <w:r w:rsidR="00DE2A60" w:rsidRPr="0089450B">
        <w:rPr>
          <w:rStyle w:val="Appelnotedebasdep"/>
          <w:rFonts w:asciiTheme="majorBidi" w:hAnsiTheme="majorBidi" w:cstheme="majorBidi"/>
          <w:sz w:val="28"/>
          <w:szCs w:val="28"/>
        </w:rPr>
        <w:footnoteReference w:id="12"/>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A. </w:t>
      </w:r>
      <w:r w:rsidR="00913ECB" w:rsidRPr="0089450B">
        <w:rPr>
          <w:rFonts w:asciiTheme="majorBidi" w:eastAsia="Times New Roman" w:hAnsiTheme="majorBidi" w:cstheme="majorBidi"/>
          <w:b/>
          <w:bCs/>
          <w:kern w:val="36"/>
          <w:sz w:val="28"/>
          <w:szCs w:val="28"/>
        </w:rPr>
        <w:t>L’Ahellil du Gourara :</w:t>
      </w:r>
      <w:r w:rsidR="00913ECB" w:rsidRPr="0089450B">
        <w:rPr>
          <w:rFonts w:asciiTheme="majorBidi" w:eastAsia="Times New Roman" w:hAnsiTheme="majorBidi" w:cstheme="majorBidi"/>
          <w:b/>
          <w:bCs/>
          <w:sz w:val="28"/>
          <w:szCs w:val="28"/>
        </w:rPr>
        <w:t>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2008 sur la Liste représentative du patrimoine culturel immatériel de l’humanité. L’Ahellil est un genre poétique et musical emblématique des Zénètes du Gourara, pratiqué lors de cérémonies collectives. Cette région du sud-ouest algérien compte une centaine d’oasis peuplée de plus de 50 000 habitants d’origine berbère, arabe et soudanaise. L’Ahellil, localisé dans la partie berbérophone du Gourara, est régulièrement exécuté lors de fêtes religieuses et de pèlerinages, mais aussi à l’occasion de réjouissances profanes telles que mariages et foires locales. Étroitement lié au mode de vie des Zénètes et à l’agriculture oasienne, l’Ahellil symbolise la cohésion de la communauté dans un environnement difficile et véhicule les valeurs et l’histoire des Zénètes dans une langue aujourd’hui menacée de disparition.</w:t>
      </w:r>
    </w:p>
    <w:p w:rsidR="00913ECB" w:rsidRPr="0089450B" w:rsidRDefault="00913ECB" w:rsidP="00F30510">
      <w:pPr>
        <w:shd w:val="clear" w:color="auto" w:fill="FFFFFF"/>
        <w:spacing w:after="0" w:line="336" w:lineRule="atLeast"/>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 xml:space="preserve">À la fois poésie, chant polyphonique, musique et danse, ce genre réunit un joueur de bengri (flûte), un chanteur et un chœur. Ce dernier peut compter une centaine de personnes qui, soudées épaule contre épaule, exécutent un mouvement giratoire autour du soliste et lui donnent la réplique en tapant dans leurs mains. Une séance d’Ahellil comprend une série de chants qui se succèdent dans l’ordre décidé par le musicien ou le chanteur. Elle suit un schéma immuable : la première partie ouverte à tous, le lemserreh, composée de chants courts et connus de tous, se prolonge jusqu’à une heure avancée de la nuit. La deuxième partie, l’aougrout, est réservée aux plus expérimentés et se poursuit jusqu’à l’aube. Le tra s’achève avec le lever du soleil et ne retient que les meilleurs interprètes. Cette structure tertiaire se retrouve dans l’exécution du chant qui débute par un prélude instrumental, suivi du chœur qui reprend </w:t>
      </w:r>
      <w:r w:rsidRPr="0089450B">
        <w:rPr>
          <w:rFonts w:asciiTheme="majorBidi" w:eastAsia="Times New Roman" w:hAnsiTheme="majorBidi" w:cstheme="majorBidi"/>
          <w:sz w:val="28"/>
          <w:szCs w:val="28"/>
        </w:rPr>
        <w:lastRenderedPageBreak/>
        <w:t>certains vers du poème et s’achève par un murmure du chœur qui va en crescendo pour produire un ensemble harmonieux et puissant.</w:t>
      </w:r>
    </w:p>
    <w:p w:rsidR="00913ECB" w:rsidRPr="0089450B" w:rsidRDefault="00913ECB" w:rsidP="00F30510">
      <w:pPr>
        <w:shd w:val="clear" w:color="auto" w:fill="FFFFFF"/>
        <w:spacing w:after="0" w:line="336" w:lineRule="atLeast"/>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Cette tradition est menacée dans la mesure où les occasions de l’exécuter sont de moins en moins nombreuses. Ce déclin est lié à la raréfaction des fêtes traditionnelles exigeant de longs préparatifs, à la migration des jeunes vers les villes et à la multiplication des enregistrements d’Ahellil que les gens préfèrent écouter plutôt que de participer à une séance.</w:t>
      </w:r>
      <w:r w:rsidRPr="0089450B">
        <w:rPr>
          <w:rStyle w:val="Appelnotedebasdep"/>
          <w:rFonts w:asciiTheme="majorBidi" w:eastAsia="Times New Roman" w:hAnsiTheme="majorBidi" w:cstheme="majorBidi"/>
          <w:sz w:val="28"/>
          <w:szCs w:val="28"/>
        </w:rPr>
        <w:footnoteReference w:id="13"/>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B. </w:t>
      </w:r>
      <w:r w:rsidR="00913ECB" w:rsidRPr="0089450B">
        <w:rPr>
          <w:rFonts w:asciiTheme="majorBidi" w:eastAsia="Times New Roman" w:hAnsiTheme="majorBidi" w:cstheme="majorBidi"/>
          <w:b/>
          <w:bCs/>
          <w:kern w:val="36"/>
          <w:sz w:val="28"/>
          <w:szCs w:val="28"/>
        </w:rPr>
        <w:t>Les rites et les savoir-faire artisanaux associés à la tradition du costume nuptial de Tlemcen :</w:t>
      </w:r>
      <w:r w:rsidR="00913ECB" w:rsidRPr="0089450B">
        <w:rPr>
          <w:rFonts w:asciiTheme="majorBidi" w:eastAsia="Times New Roman" w:hAnsiTheme="majorBidi" w:cstheme="majorBidi"/>
          <w:sz w:val="28"/>
          <w:szCs w:val="28"/>
        </w:rPr>
        <w:t> </w:t>
      </w:r>
    </w:p>
    <w:p w:rsidR="00913ECB" w:rsidRPr="0089450B" w:rsidRDefault="00913ECB" w:rsidP="00F30510">
      <w:pPr>
        <w:shd w:val="clear" w:color="auto" w:fill="FFFFFF"/>
        <w:spacing w:after="0" w:line="336" w:lineRule="atLeast"/>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2012 sur la Liste représentative du patrimoine culturel immatériel de l’humanité. Le rituel nuptial de Tlemcen dans le nord-ouest de l’Algérie commence chez les parents où la mariée revêt une robe de soie dorée réalisée dans un tissage traditionnel, entourée de ses amies et cousines mariées, parées de leurs costumes nuptiaux. Des dessins symboliques au henné sont appliqués sur ses mains et une femme plus âgée l’aide à revêtir un caftan de velours brodé, les bijoux et une coiffe conique. Des rangs de perles baroques protègent ses organes vitaux et de reproduction contre les esprits malfaisants. En quittant le foyer, la mariée est dissimulée sous un voile de soie flamboyant. Pendant la fête nuptiale, une femme mariée du cercle de ses proches dessine des motifs arrondis rouges et argentés sur les joues et sous la lèvre inférieure de la mariée pour la purifier et la protéger. Une fois protégée par son caftan, ses bijoux et son maquillage, la mariée quitte son voile, prête à se marier. Les jeunes filles de Tlemcen sont initiées à la tradition du costume dès le plus jeune âge, tandis que l’artisanat que représente la confection du précieux costume nuptial se transmet de génération en génération. Le rite symbolise l’alliance entre les familles et la continuité entre les générations, alors que l’artisanat joue un rôle majeur dans la perpétuation de la créativité et l’identité de la communauté de Tlemcen.</w:t>
      </w:r>
      <w:r w:rsidRPr="0089450B">
        <w:rPr>
          <w:rStyle w:val="Appelnotedebasdep"/>
          <w:rFonts w:asciiTheme="majorBidi" w:eastAsia="Times New Roman" w:hAnsiTheme="majorBidi" w:cstheme="majorBidi"/>
          <w:b/>
          <w:bCs/>
          <w:sz w:val="28"/>
          <w:szCs w:val="28"/>
        </w:rPr>
        <w:footnoteReference w:id="14"/>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C. </w:t>
      </w:r>
      <w:r w:rsidR="00913ECB" w:rsidRPr="0089450B">
        <w:rPr>
          <w:rFonts w:asciiTheme="majorBidi" w:eastAsia="Times New Roman" w:hAnsiTheme="majorBidi" w:cstheme="majorBidi"/>
          <w:b/>
          <w:bCs/>
          <w:kern w:val="36"/>
          <w:sz w:val="28"/>
          <w:szCs w:val="28"/>
        </w:rPr>
        <w:t>Le pèlerinage annuel au mausolée de Sidi ‘Abd el-Qader Ben Mohammed dit « Sidi Cheikh » :</w:t>
      </w:r>
      <w:r w:rsidR="00913ECB" w:rsidRPr="0089450B">
        <w:rPr>
          <w:rFonts w:asciiTheme="majorBidi" w:eastAsia="Times New Roman" w:hAnsiTheme="majorBidi" w:cstheme="majorBidi"/>
          <w:sz w:val="28"/>
          <w:szCs w:val="28"/>
        </w:rPr>
        <w:t>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 xml:space="preserve">Inscrit en 2013 sur la Liste représentative du patrimoine culturel immatériel de l’humanité. Chaque année, les communautés soufies nomades et sédentaires effectuent un pèlerinage au mausolée du mystique musulman Sidi ‘Abd el-Qader Ben Mohammed dit « Sidi Cheikh », enterré à El Abiodh Sidi Cheikh. À partir du dernier jeudi de juin, trois jours de rituels religieux et de manifestations profanes festives rendent hommage au fondateur de la confrérie. Le pèlerinage renouvelle les liens et les alliances au sein de la confrérie soufie et assure la paix </w:t>
      </w:r>
      <w:r w:rsidRPr="0089450B">
        <w:rPr>
          <w:rFonts w:asciiTheme="majorBidi" w:eastAsia="Times New Roman" w:hAnsiTheme="majorBidi" w:cstheme="majorBidi"/>
          <w:sz w:val="28"/>
          <w:szCs w:val="28"/>
        </w:rPr>
        <w:lastRenderedPageBreak/>
        <w:t>et la stabilité entre les communautés. Il a également contribué au récent essor du soufisme ainsi qu’à la promotion de valeurs communautaires telles que l’hospitalité et de pratiques collectives telles que les hymnes à Sidi Cheikh, les récitations du Coran, les danses et les chants profanes. Les rituels commencent par une récitation en chœur du Coran suivie, à l’aube, d’une cérémonie consistant à renouveler l’affiliation des communautés à la confrérie soufie. Les festivités profanes comprennent des jeux d’escrime, des compétitions équestres et des danses qui mobilisent plus de 300 cavaliers venant des différentes communautés. Les connaissances spirituelles s’apprennent et se transmettent dans les familles, tandis que les maîtres soufis enseignent les principaux rituels et prières soufis aux initiés à travers un apprentissage formel. Les danses et jeux profanes des hommes et des femmes s’enseignent dans des associations ou sont transmis par la pratique.</w:t>
      </w:r>
      <w:r w:rsidRPr="0089450B">
        <w:rPr>
          <w:rStyle w:val="Appelnotedebasdep"/>
          <w:rFonts w:asciiTheme="majorBidi" w:eastAsia="Times New Roman" w:hAnsiTheme="majorBidi" w:cstheme="majorBidi"/>
          <w:sz w:val="28"/>
          <w:szCs w:val="28"/>
        </w:rPr>
        <w:footnoteReference w:id="15"/>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D. </w:t>
      </w:r>
      <w:r w:rsidR="00913ECB" w:rsidRPr="0089450B">
        <w:rPr>
          <w:rFonts w:asciiTheme="majorBidi" w:eastAsia="Times New Roman" w:hAnsiTheme="majorBidi" w:cstheme="majorBidi"/>
          <w:b/>
          <w:bCs/>
          <w:kern w:val="36"/>
          <w:sz w:val="28"/>
          <w:szCs w:val="28"/>
        </w:rPr>
        <w:t>Les pratiques et savoirs liés à l’imzad des communautés touarègues de l’Algérie, du Mali et du Niger :</w:t>
      </w:r>
      <w:r w:rsidR="00913ECB" w:rsidRPr="0089450B">
        <w:rPr>
          <w:rFonts w:asciiTheme="majorBidi" w:eastAsia="Times New Roman" w:hAnsiTheme="majorBidi" w:cstheme="majorBidi"/>
          <w:sz w:val="28"/>
          <w:szCs w:val="28"/>
        </w:rPr>
        <w:t>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2013 sur la Liste représentative du patrimoine culturel immatériel de l’humanité. La musique de l’imzad, caractéristique des populations touarègues, est jouée par les femmes avec un instrument à corde unique frottée, également connu sous le nom d’imzad. La musicienne place l’instrument sur ses genoux et joue en position assise au moyen d’un archet en bois arqué. Alliant musique et poésie, la musique de l’imzad est fréquemment jouée lors des cérémonies dans les campements touarègues. L’instrument fournit l’accompagnement mélodique des chants poétiques ou populaires glorifiant les aventures et les exploits des héros du passé, qui sont souvent chantés par les hommes et auxquels hommes et femmes participent en émettant des cris modulés ou aigus. La musique revêt également une fonction thérapeutique car elle est jouée pour chasser les mauvais esprits et atténuer les souffrances des malades. Le son de l’imzad reflète les sentiments et les états d’âme de l’interprète, et toute difficulté d’exécution au cours d’une interprétation est considérée comme un signe de malheur. Les femmes fabriquent l’instrument à partir d’une demi-calebasse séchée et évidée. Celle-ci est tendue d’une peau du côté ouvert, percée de deux ouïes en forme de rosace et munie d’un chevalet en bois en forme de V. Le savoir musical de l’imzad est transmis oralement selon des méthodes traditionnelles qui favorisent l’observation et l’assimilation.</w:t>
      </w:r>
      <w:r w:rsidRPr="0089450B">
        <w:rPr>
          <w:rStyle w:val="Appelnotedebasdep"/>
          <w:rFonts w:asciiTheme="majorBidi" w:eastAsia="Times New Roman" w:hAnsiTheme="majorBidi" w:cstheme="majorBidi"/>
          <w:sz w:val="28"/>
          <w:szCs w:val="28"/>
        </w:rPr>
        <w:footnoteReference w:id="16"/>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E. </w:t>
      </w:r>
      <w:r w:rsidR="00913ECB" w:rsidRPr="0089450B">
        <w:rPr>
          <w:rFonts w:asciiTheme="majorBidi" w:eastAsia="Times New Roman" w:hAnsiTheme="majorBidi" w:cstheme="majorBidi"/>
          <w:b/>
          <w:bCs/>
          <w:kern w:val="36"/>
          <w:sz w:val="28"/>
          <w:szCs w:val="28"/>
        </w:rPr>
        <w:t>Le rituel et les cérémonies de la Sebeïba dans l'oasis de Djanet :</w:t>
      </w:r>
    </w:p>
    <w:p w:rsidR="00913ECB" w:rsidRPr="0089450B" w:rsidRDefault="00913ECB" w:rsidP="00F30510">
      <w:pPr>
        <w:shd w:val="clear" w:color="auto" w:fill="FFFFFF"/>
        <w:spacing w:after="0" w:line="240" w:lineRule="auto"/>
        <w:jc w:val="both"/>
        <w:rPr>
          <w:rFonts w:asciiTheme="majorBidi" w:eastAsia="Times New Roman" w:hAnsiTheme="majorBidi" w:cstheme="majorBidi"/>
          <w:b/>
          <w:bCs/>
          <w:sz w:val="28"/>
          <w:szCs w:val="28"/>
        </w:rPr>
      </w:pPr>
      <w:r w:rsidRPr="0089450B">
        <w:rPr>
          <w:rFonts w:asciiTheme="majorBidi" w:eastAsia="Times New Roman" w:hAnsiTheme="majorBidi" w:cstheme="majorBidi"/>
          <w:sz w:val="28"/>
          <w:szCs w:val="28"/>
        </w:rPr>
        <w:t>Inscrit en 2014 sur la Liste représentative du patrimoine culturel immatériel de l’humanité</w:t>
      </w:r>
      <w:r w:rsidRPr="0089450B">
        <w:rPr>
          <w:rFonts w:asciiTheme="majorBidi" w:eastAsia="Times New Roman" w:hAnsiTheme="majorBidi" w:cstheme="majorBidi"/>
          <w:b/>
          <w:bCs/>
          <w:sz w:val="28"/>
          <w:szCs w:val="28"/>
        </w:rPr>
        <w:t xml:space="preserve">. </w:t>
      </w:r>
      <w:r w:rsidRPr="0089450B">
        <w:rPr>
          <w:rFonts w:asciiTheme="majorBidi" w:eastAsia="Times New Roman" w:hAnsiTheme="majorBidi" w:cstheme="majorBidi"/>
          <w:sz w:val="28"/>
          <w:szCs w:val="28"/>
        </w:rPr>
        <w:t xml:space="preserve">Le rituel et les cérémonies de la Sebeïba sont pratiqués sur dix jours par deux communautés vivant à Djanet au cours du premier mois du calendrier </w:t>
      </w:r>
      <w:r w:rsidRPr="0089450B">
        <w:rPr>
          <w:rFonts w:asciiTheme="majorBidi" w:eastAsia="Times New Roman" w:hAnsiTheme="majorBidi" w:cstheme="majorBidi"/>
          <w:sz w:val="28"/>
          <w:szCs w:val="28"/>
        </w:rPr>
        <w:lastRenderedPageBreak/>
        <w:t>lunaire musulman. Des danseurs et des chanteuses s’affrontent pour avoir le droit de représenter leur communauté lors d’une compétition sur neuf jours appelée « Timoulawine ». Les vainqueurs participent le lendemain au rituel et aux cérémonies de la Sebeïba. Les danseurs, en tenue guerrière, et les chanteuses se rendent dans un lieu appelé « loghya » pour pratiquer le rituel. Une fois arrivés, les danseurs forment un cercle rituel en faisant cliqueter leurs épées en continu tandis que les femmes chantent des chants traditionnels au rythme des tambourins. À la fin de la journée, les participants se dispersent. Les connaissances liées au rituel et aux cérémonies sont transmises directement des anciens aux jeunes. Les artisans locaux fabriquent et réparent les tenues, les armes, les bijoux et les instruments de musique nécessaires au rituel et aux cérémonies. Le rituel et les cérémonies de la Sebeïba sont un marqueur important de l’identité culturelle des Touaregs qui vivent dans le Sahara algérien. Ils permettent de renforcer la cohésion sociale et de conjurer symboliquement les éventuels actes de violence entre les communautés rivales en simulant et en transposant cette violence dans le domaine de la compétition artistique.</w:t>
      </w:r>
      <w:r w:rsidRPr="0089450B">
        <w:rPr>
          <w:rStyle w:val="Appelnotedebasdep"/>
          <w:rFonts w:asciiTheme="majorBidi" w:eastAsia="Times New Roman" w:hAnsiTheme="majorBidi" w:cstheme="majorBidi"/>
          <w:sz w:val="28"/>
          <w:szCs w:val="28"/>
        </w:rPr>
        <w:footnoteReference w:id="17"/>
      </w:r>
    </w:p>
    <w:p w:rsidR="00913ECB" w:rsidRPr="0089450B" w:rsidRDefault="00F30510" w:rsidP="00F30510">
      <w:pPr>
        <w:shd w:val="clear" w:color="auto" w:fill="FFFFFF"/>
        <w:spacing w:before="161" w:after="0" w:line="240" w:lineRule="auto"/>
        <w:jc w:val="both"/>
        <w:outlineLvl w:val="0"/>
        <w:rPr>
          <w:rFonts w:asciiTheme="majorBidi" w:eastAsia="Times New Roman" w:hAnsiTheme="majorBidi" w:cstheme="majorBidi"/>
          <w:b/>
          <w:bCs/>
          <w:kern w:val="36"/>
          <w:sz w:val="28"/>
          <w:szCs w:val="28"/>
        </w:rPr>
      </w:pPr>
      <w:r w:rsidRPr="0089450B">
        <w:rPr>
          <w:rFonts w:asciiTheme="majorBidi" w:hAnsiTheme="majorBidi" w:cstheme="majorBidi"/>
          <w:b/>
          <w:bCs/>
          <w:sz w:val="28"/>
          <w:szCs w:val="28"/>
        </w:rPr>
        <w:t xml:space="preserve">V. 1. F. </w:t>
      </w:r>
      <w:r w:rsidR="00913ECB" w:rsidRPr="0089450B">
        <w:rPr>
          <w:rFonts w:asciiTheme="majorBidi" w:eastAsia="Times New Roman" w:hAnsiTheme="majorBidi" w:cstheme="majorBidi"/>
          <w:b/>
          <w:bCs/>
          <w:kern w:val="36"/>
          <w:sz w:val="28"/>
          <w:szCs w:val="28"/>
        </w:rPr>
        <w:t>Le sbuâ, pèlerinage annuel à la zawiya Sidi El Hadj Belkacem, Gourara :</w:t>
      </w:r>
      <w:r w:rsidR="00913ECB" w:rsidRPr="0089450B">
        <w:rPr>
          <w:rFonts w:asciiTheme="majorBidi" w:eastAsia="Times New Roman" w:hAnsiTheme="majorBidi" w:cstheme="majorBidi"/>
          <w:sz w:val="28"/>
          <w:szCs w:val="28"/>
        </w:rPr>
        <w:t>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2015 sur la Liste représentative du patrimoine culturel immatériel de l’humanité. Chaque année, les pèlerins des communautés zénètes, dans le sud-ouest du Sahara algérien, visitent les mausolées des saints pour commémorer la naissance du prophète Mahomet. Le sbuâ est un pèlerinage qui s’étale sur une semaine et comporte des pratiques culturelles festives liées à des activités de groupe, comme des visites et des célébrations accompagnées de chants et de danses. Les pèlerins terminent leur voyage le septième jour sur une place à l’extérieur d’une </w:t>
      </w:r>
      <w:r w:rsidRPr="0089450B">
        <w:rPr>
          <w:rFonts w:asciiTheme="majorBidi" w:eastAsia="Times New Roman" w:hAnsiTheme="majorBidi" w:cstheme="majorBidi"/>
          <w:i/>
          <w:iCs/>
          <w:sz w:val="28"/>
          <w:szCs w:val="28"/>
        </w:rPr>
        <w:t>zawiya</w:t>
      </w:r>
      <w:r w:rsidRPr="0089450B">
        <w:rPr>
          <w:rFonts w:asciiTheme="majorBidi" w:eastAsia="Times New Roman" w:hAnsiTheme="majorBidi" w:cstheme="majorBidi"/>
          <w:sz w:val="28"/>
          <w:szCs w:val="28"/>
        </w:rPr>
        <w:t xml:space="preserve"> (institution communautaire) située au centre de Gourara, qui abrite le mausolée de Sidi El Hajd Belkacem. Les différents groupes de pèlerins fusionnent symboliquement autour d’un détenteur portant l’étendard du saint avant de rejoindre ensuite leurs groupes respectifs pour poursuivre le rituel, qui est dirigé par les pèlerins les plus âgés. Les femmes participent aux rassemblements en poussant des youyous et en présidant le rituel dit « de la meule », une semaine avant le début de la cérémonie, au cours duquel elles broient la première poignée de céréales utilisée pour faire le couscous mangé par les pèlerins. Les détenteurs de cette tradition peuvent remonter leur lignée jusqu’aux saints et se décrivent comme des descendants. Les enfants et les jeunes sont impliqués de manière formelle dans les différents aspects (actes, prières et chants), devenant peu à peu eux-mêmes les détenteurs de la connaissance. Compte-tenu de l’ensemble des croyances et des rites à l’œuvre </w:t>
      </w:r>
      <w:r w:rsidRPr="0089450B">
        <w:rPr>
          <w:rFonts w:asciiTheme="majorBidi" w:eastAsia="Times New Roman" w:hAnsiTheme="majorBidi" w:cstheme="majorBidi"/>
          <w:sz w:val="28"/>
          <w:szCs w:val="28"/>
        </w:rPr>
        <w:lastRenderedPageBreak/>
        <w:t>dans le pèlerinage, le sbuâ est considéré par les communautés comme étant une expression de leur histoire et des liens qui les unissent.</w:t>
      </w:r>
      <w:r w:rsidRPr="0089450B">
        <w:rPr>
          <w:rStyle w:val="Appelnotedebasdep"/>
          <w:rFonts w:asciiTheme="majorBidi" w:eastAsia="Times New Roman" w:hAnsiTheme="majorBidi" w:cstheme="majorBidi"/>
          <w:sz w:val="28"/>
          <w:szCs w:val="28"/>
        </w:rPr>
        <w:footnoteReference w:id="18"/>
      </w:r>
    </w:p>
    <w:p w:rsidR="00913ECB" w:rsidRPr="0089450B" w:rsidRDefault="00F30510" w:rsidP="00F30510">
      <w:pPr>
        <w:spacing w:before="100" w:beforeAutospacing="1" w:after="0" w:line="240" w:lineRule="auto"/>
        <w:jc w:val="both"/>
        <w:rPr>
          <w:rFonts w:asciiTheme="majorBidi" w:eastAsia="Times New Roman" w:hAnsiTheme="majorBidi" w:cstheme="majorBidi"/>
          <w:sz w:val="28"/>
          <w:szCs w:val="28"/>
        </w:rPr>
      </w:pPr>
      <w:r w:rsidRPr="0089450B">
        <w:rPr>
          <w:rFonts w:asciiTheme="majorBidi" w:hAnsiTheme="majorBidi" w:cstheme="majorBidi"/>
          <w:b/>
          <w:bCs/>
          <w:sz w:val="28"/>
          <w:szCs w:val="28"/>
        </w:rPr>
        <w:t xml:space="preserve">V. 1. G. </w:t>
      </w:r>
      <w:r w:rsidR="00913ECB" w:rsidRPr="0089450B">
        <w:rPr>
          <w:rFonts w:asciiTheme="majorBidi" w:eastAsia="Times New Roman" w:hAnsiTheme="majorBidi" w:cstheme="majorBidi"/>
          <w:b/>
          <w:bCs/>
          <w:kern w:val="36"/>
          <w:sz w:val="28"/>
          <w:szCs w:val="28"/>
        </w:rPr>
        <w:t>Les savoirs et savoir-faire des mesureurs d’eau des foggaras ou aiguadiers du Touat-Tidikelt :</w:t>
      </w:r>
    </w:p>
    <w:p w:rsidR="00913ECB" w:rsidRPr="0089450B" w:rsidRDefault="00913ECB" w:rsidP="00F30510">
      <w:pPr>
        <w:spacing w:before="100" w:beforeAutospacing="1"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2018 sur la Liste du patrimoine immatériel nécessitant une sauvegarde urgente. L’élément concerne le savoir et les savoir-faire des mesureurs d’eau des foggaras (système d’irrigation), ou aiguadiers, des communautés ksouriennes du Touat et du Tidikelt. Les mesureurs d’eau participent à différentes opérations qui vont du calcul des parts d’eau à la réparation des peignes de répartition des eaux et la conduite de l’eau dans les rigoles. Chaque foggara relie plusieurs catégories d’agents sociaux et de détenteurs de savoirs dont les propriétaires, les travailleurs manuels, les comptables et les mesureurs d’eau. C’est le savoir de ces derniers qui semble menacé. Le mesureur d’eau est un personnage essentiel de la vie des ksour sahariens car il gère un domaine vital dont dépend la survie de tous. Il a un rôle à la fois intellectuel et manuel et peut être appelé à tout moment par la communauté. Actuellement, un manque de communication entre les jeunes et leurs ainés est observé. En outre, plusieurs facteurs ont modifié le bon fonctionnement des foggaras, notamment des transformations initiées par le pouvoir central dans les rapports de propriété, les effets de l’urbanisation et de la modernisation et une absence de prise en considération des mesures à mettre en œuvre pour assurer la transmission du savoir. La disparition de l’activité des mesureurs d’eau est illustrée par leur âge avancé qui met en évidence une absence de renouvellement des praticiens.</w:t>
      </w:r>
      <w:r w:rsidRPr="0089450B">
        <w:rPr>
          <w:rStyle w:val="Appelnotedebasdep"/>
          <w:rFonts w:asciiTheme="majorBidi" w:eastAsia="Times New Roman" w:hAnsiTheme="majorBidi" w:cstheme="majorBidi"/>
          <w:sz w:val="28"/>
          <w:szCs w:val="28"/>
        </w:rPr>
        <w:footnoteReference w:id="19"/>
      </w:r>
    </w:p>
    <w:p w:rsidR="00913ECB" w:rsidRPr="0089450B" w:rsidRDefault="00F30510" w:rsidP="00F30510">
      <w:pPr>
        <w:spacing w:before="100" w:beforeAutospacing="1" w:after="0" w:line="240" w:lineRule="auto"/>
        <w:jc w:val="both"/>
        <w:rPr>
          <w:rFonts w:asciiTheme="majorBidi" w:eastAsia="Times New Roman" w:hAnsiTheme="majorBidi" w:cstheme="majorBidi"/>
          <w:sz w:val="28"/>
          <w:szCs w:val="28"/>
        </w:rPr>
      </w:pPr>
      <w:r w:rsidRPr="0089450B">
        <w:rPr>
          <w:rFonts w:asciiTheme="majorBidi" w:hAnsiTheme="majorBidi" w:cstheme="majorBidi"/>
          <w:b/>
          <w:bCs/>
          <w:sz w:val="28"/>
          <w:szCs w:val="28"/>
        </w:rPr>
        <w:t xml:space="preserve">V. 1. H. </w:t>
      </w:r>
      <w:r w:rsidR="00913ECB" w:rsidRPr="0089450B">
        <w:rPr>
          <w:rFonts w:asciiTheme="majorBidi" w:eastAsia="Times New Roman" w:hAnsiTheme="majorBidi" w:cstheme="majorBidi"/>
          <w:b/>
          <w:bCs/>
          <w:kern w:val="36"/>
          <w:sz w:val="28"/>
          <w:szCs w:val="28"/>
        </w:rPr>
        <w:t>Les savoirs, savoir-faire et pratiques liés à la production et à la consommation du couscous</w:t>
      </w:r>
      <w:r w:rsidR="00913ECB" w:rsidRPr="0089450B">
        <w:rPr>
          <w:rFonts w:asciiTheme="majorBidi" w:eastAsia="Times New Roman" w:hAnsiTheme="majorBidi" w:cstheme="majorBidi"/>
          <w:b/>
          <w:bCs/>
          <w:sz w:val="28"/>
          <w:szCs w:val="28"/>
        </w:rPr>
        <w:t xml:space="preserve"> (</w:t>
      </w:r>
      <w:hyperlink r:id="rId9" w:history="1">
        <w:r w:rsidR="00913ECB" w:rsidRPr="0089450B">
          <w:rPr>
            <w:rFonts w:asciiTheme="majorBidi" w:eastAsia="Times New Roman" w:hAnsiTheme="majorBidi" w:cstheme="majorBidi"/>
            <w:b/>
            <w:bCs/>
            <w:sz w:val="28"/>
            <w:szCs w:val="28"/>
          </w:rPr>
          <w:t>Algérie</w:t>
        </w:r>
      </w:hyperlink>
      <w:r w:rsidR="00913ECB" w:rsidRPr="0089450B">
        <w:rPr>
          <w:rFonts w:asciiTheme="majorBidi" w:eastAsia="Times New Roman" w:hAnsiTheme="majorBidi" w:cstheme="majorBidi"/>
          <w:b/>
          <w:bCs/>
          <w:sz w:val="28"/>
          <w:szCs w:val="28"/>
        </w:rPr>
        <w:t>, </w:t>
      </w:r>
      <w:hyperlink r:id="rId10" w:history="1">
        <w:r w:rsidR="00913ECB" w:rsidRPr="0089450B">
          <w:rPr>
            <w:rFonts w:asciiTheme="majorBidi" w:eastAsia="Times New Roman" w:hAnsiTheme="majorBidi" w:cstheme="majorBidi"/>
            <w:b/>
            <w:bCs/>
            <w:sz w:val="28"/>
            <w:szCs w:val="28"/>
          </w:rPr>
          <w:t>Mauritanie</w:t>
        </w:r>
      </w:hyperlink>
      <w:r w:rsidR="00913ECB" w:rsidRPr="0089450B">
        <w:rPr>
          <w:rFonts w:asciiTheme="majorBidi" w:eastAsia="Times New Roman" w:hAnsiTheme="majorBidi" w:cstheme="majorBidi"/>
          <w:b/>
          <w:bCs/>
          <w:sz w:val="28"/>
          <w:szCs w:val="28"/>
        </w:rPr>
        <w:t>, </w:t>
      </w:r>
      <w:hyperlink r:id="rId11" w:history="1">
        <w:r w:rsidR="00913ECB" w:rsidRPr="0089450B">
          <w:rPr>
            <w:rFonts w:asciiTheme="majorBidi" w:eastAsia="Times New Roman" w:hAnsiTheme="majorBidi" w:cstheme="majorBidi"/>
            <w:b/>
            <w:bCs/>
            <w:sz w:val="28"/>
            <w:szCs w:val="28"/>
          </w:rPr>
          <w:t>Maroc</w:t>
        </w:r>
      </w:hyperlink>
      <w:r w:rsidR="00913ECB" w:rsidRPr="0089450B">
        <w:rPr>
          <w:rFonts w:asciiTheme="majorBidi" w:eastAsia="Times New Roman" w:hAnsiTheme="majorBidi" w:cstheme="majorBidi"/>
          <w:b/>
          <w:bCs/>
          <w:sz w:val="28"/>
          <w:szCs w:val="28"/>
        </w:rPr>
        <w:t> et </w:t>
      </w:r>
      <w:hyperlink r:id="rId12" w:history="1">
        <w:r w:rsidR="00913ECB" w:rsidRPr="0089450B">
          <w:rPr>
            <w:rFonts w:asciiTheme="majorBidi" w:eastAsia="Times New Roman" w:hAnsiTheme="majorBidi" w:cstheme="majorBidi"/>
            <w:b/>
            <w:bCs/>
            <w:sz w:val="28"/>
            <w:szCs w:val="28"/>
          </w:rPr>
          <w:t>Tunisie</w:t>
        </w:r>
      </w:hyperlink>
      <w:r w:rsidR="00913ECB" w:rsidRPr="0089450B">
        <w:rPr>
          <w:rFonts w:asciiTheme="majorBidi" w:hAnsiTheme="majorBidi" w:cstheme="majorBidi"/>
          <w:b/>
          <w:bCs/>
          <w:sz w:val="28"/>
          <w:szCs w:val="28"/>
        </w:rPr>
        <w:t>) </w:t>
      </w:r>
      <w:r w:rsidR="00913ECB" w:rsidRPr="0089450B">
        <w:rPr>
          <w:rFonts w:asciiTheme="majorBidi" w:eastAsia="Times New Roman" w:hAnsiTheme="majorBidi" w:cstheme="majorBidi"/>
          <w:b/>
          <w:bCs/>
          <w:sz w:val="28"/>
          <w:szCs w:val="28"/>
        </w:rPr>
        <w:t>:</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 xml:space="preserve">Inscrit en 2020 sur la Liste représentative du patrimoine culturel immatériel de l’humanité. Les savoirs, savoir-faire et pratiques liés à la production et à la consommation du couscous regroupent le mode de préparation, les conditions et outils nécessaires à la fabrication, les artefacts associés et les circonstances de la consommation du couscous au sein des communautés concernées. La préparation du couscous est un processus cérémoniel impliquant différentes opérations. Tout commence par la céréaliculture, la moulure des graines pour obtenir une semoule qui sera roulée puis cuite après avoir été passée à la vapeur. Ces pratiques sont associées à un ensemble d’outils, instruments et ustensiles exclusifs. Ce plat est accompagné d’adjuvants végétaux divers et de différentes viandes en fonction du territoire, de la saison et des circonstances. De nos jours, comme autrefois, les méthodes de préparation du couscous constituent une </w:t>
      </w:r>
      <w:r w:rsidRPr="0089450B">
        <w:rPr>
          <w:rFonts w:asciiTheme="majorBidi" w:eastAsia="Times New Roman" w:hAnsiTheme="majorBidi" w:cstheme="majorBidi"/>
          <w:sz w:val="28"/>
          <w:szCs w:val="28"/>
        </w:rPr>
        <w:lastRenderedPageBreak/>
        <w:t>somme de savoirs et savoir-faire qui se transmettent de façon non formelle par l’observation et la reproduction. Pour la fabrication des ustensiles, ceux en argile sont réalisés par des potières et ceux en bois sont produits par des coopératives ou manufactures artisanales, souvent familiales. Depuis quelques décennies la transmission formelle se développe au-delà du cercle familial et du foyer. Les aspects non culinaires de l’élément, à savoir les rites, les expressions orales et certaines pratiques sociales, sont également transmis par les détenteurs. Le couscous est un mets qui compte un répertoire de symboliques, de significations, de dimensions sociales et culturelles toutes liées à la solidarité, à la convivialité, au partage et au vivre-ensemble.</w:t>
      </w:r>
      <w:r w:rsidRPr="0089450B">
        <w:rPr>
          <w:rStyle w:val="Appelnotedebasdep"/>
          <w:rFonts w:asciiTheme="majorBidi" w:eastAsia="Times New Roman" w:hAnsiTheme="majorBidi" w:cstheme="majorBidi"/>
          <w:sz w:val="28"/>
          <w:szCs w:val="28"/>
        </w:rPr>
        <w:footnoteReference w:id="20"/>
      </w:r>
    </w:p>
    <w:p w:rsidR="00913ECB" w:rsidRPr="0089450B" w:rsidRDefault="00F30510" w:rsidP="00F30510">
      <w:pPr>
        <w:shd w:val="clear" w:color="auto" w:fill="FFFFFF"/>
        <w:spacing w:after="0" w:line="240" w:lineRule="auto"/>
        <w:jc w:val="both"/>
        <w:rPr>
          <w:rFonts w:asciiTheme="majorBidi" w:eastAsia="Times New Roman" w:hAnsiTheme="majorBidi" w:cstheme="majorBidi"/>
          <w:b/>
          <w:bCs/>
          <w:sz w:val="28"/>
          <w:szCs w:val="28"/>
        </w:rPr>
      </w:pPr>
      <w:r w:rsidRPr="0089450B">
        <w:rPr>
          <w:rFonts w:asciiTheme="majorBidi" w:hAnsiTheme="majorBidi" w:cstheme="majorBidi"/>
          <w:b/>
          <w:bCs/>
          <w:sz w:val="28"/>
          <w:szCs w:val="28"/>
        </w:rPr>
        <w:t xml:space="preserve">V. 1. I. </w:t>
      </w:r>
      <w:r w:rsidR="00913ECB" w:rsidRPr="0089450B">
        <w:rPr>
          <w:rFonts w:asciiTheme="majorBidi" w:eastAsia="Times New Roman" w:hAnsiTheme="majorBidi" w:cstheme="majorBidi"/>
          <w:b/>
          <w:bCs/>
          <w:sz w:val="28"/>
          <w:szCs w:val="28"/>
        </w:rPr>
        <w:t>La calligraphie arabe (Arabie saoudite, Algérie, Bahreïn, Égypte, Iraq, Jordanie, Koweït, Liban, Mauritanie, Maroc, Oman, Palestine, Soudan, Tunisie, Émirats arabes unis et Yémen)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Inscrit en 2021  sur la Liste représentative du patrimoine culturel immatériel de l’humanité. La calligraphie arabe désigne la pratique artistique consistant à retranscrire l’écriture arabe manuscrite avec fluidité, afin d’exprimer harmonie, grâce et beauté. Cette pratique, qui peut être transmise tant par l’éducation formelle et informelle, utilise les vingt-huit lettres de l’alphabet arabe, rédigé en écriture cursive de droite à gauche. Conçue à l’origine pour rendre l’écriture claire et lisible, elle s’est progressivement transformée en un art arabe Islamique utilisé dans les œuvres traditionnelles et modernes. La fluidité de l’écriture arabe offre des possibilités infinies, même sur un seul mot, puisque les lettres peuvent être allongées et transformées de nombreuses façons afin de créer différents motifs. Les techniques traditionnelles utilisent des matériaux naturels, tels que des tiges de roseau et de bambou pour le calame, un outil d’écriture. L’encre est fabriquée à partir d’ingrédients naturels tels que le miel, la suie et le safran. Le papier est fabriqué à la main et enduit d’amidon, de blanc d’œuf et d’alun. La calligraphie moderne utilise fréquemment des marqueurs et des peintures synthétiques et de la peinture en bombe spray est utilisée pour les calligraffiti peints sur les murs, les panneaux et les bâtiments. Les artisans et les designers ont aussi recours à la calligraphie arabe pour réaliser des ornementations artistiques, par exemple sur le marbre, les sculptures sur bois, la broderie et la gravure sur métal. La calligraphie arabe est largement répandue dans les pays arabes et non Arabes et est pratiquée par des hommes et des femmes de tous les âges. Les compétences sont transmises de façon informelle ou via des écoles officielles ou des apprentissages.</w:t>
      </w:r>
      <w:r w:rsidRPr="0089450B">
        <w:rPr>
          <w:rStyle w:val="Appelnotedebasdep"/>
          <w:rFonts w:asciiTheme="majorBidi" w:eastAsia="Times New Roman" w:hAnsiTheme="majorBidi" w:cstheme="majorBidi"/>
          <w:sz w:val="28"/>
          <w:szCs w:val="28"/>
        </w:rPr>
        <w:footnoteReference w:id="21"/>
      </w:r>
    </w:p>
    <w:p w:rsidR="00913ECB" w:rsidRPr="0089450B" w:rsidRDefault="00F30510" w:rsidP="00F30510">
      <w:pPr>
        <w:shd w:val="clear" w:color="auto" w:fill="FFFFFF"/>
        <w:spacing w:after="0" w:line="240" w:lineRule="auto"/>
        <w:jc w:val="both"/>
        <w:rPr>
          <w:rFonts w:asciiTheme="majorBidi" w:eastAsia="Times New Roman" w:hAnsiTheme="majorBidi" w:cstheme="majorBidi"/>
          <w:b/>
          <w:bCs/>
          <w:sz w:val="28"/>
          <w:szCs w:val="28"/>
        </w:rPr>
      </w:pPr>
      <w:r w:rsidRPr="0089450B">
        <w:rPr>
          <w:rFonts w:asciiTheme="majorBidi" w:hAnsiTheme="majorBidi" w:cstheme="majorBidi"/>
          <w:b/>
          <w:bCs/>
          <w:sz w:val="28"/>
          <w:szCs w:val="28"/>
        </w:rPr>
        <w:t xml:space="preserve">V. 1. J. </w:t>
      </w:r>
      <w:r w:rsidR="00913ECB" w:rsidRPr="0089450B">
        <w:rPr>
          <w:rFonts w:asciiTheme="majorBidi" w:eastAsia="Times New Roman" w:hAnsiTheme="majorBidi" w:cstheme="majorBidi"/>
          <w:b/>
          <w:bCs/>
          <w:sz w:val="28"/>
          <w:szCs w:val="28"/>
        </w:rPr>
        <w:t xml:space="preserve">Le raï : </w:t>
      </w:r>
    </w:p>
    <w:p w:rsidR="00913ECB" w:rsidRPr="0089450B" w:rsidRDefault="00913ECB" w:rsidP="00F30510">
      <w:pPr>
        <w:shd w:val="clear" w:color="auto" w:fill="FFFFFF"/>
        <w:spacing w:after="0" w:line="240" w:lineRule="auto"/>
        <w:jc w:val="both"/>
        <w:rPr>
          <w:rFonts w:asciiTheme="majorBidi" w:eastAsia="Times New Roman" w:hAnsiTheme="majorBidi" w:cstheme="majorBidi"/>
          <w:sz w:val="28"/>
          <w:szCs w:val="28"/>
        </w:rPr>
      </w:pPr>
      <w:r w:rsidRPr="0089450B">
        <w:rPr>
          <w:rFonts w:asciiTheme="majorBidi" w:eastAsia="Times New Roman" w:hAnsiTheme="majorBidi" w:cstheme="majorBidi"/>
          <w:sz w:val="28"/>
          <w:szCs w:val="28"/>
        </w:rPr>
        <w:t xml:space="preserve">Inscrit en 2022 sur la Liste représentative du patrimoine culturel immatériel de l’humanité. Le raï est une chanson populaire d’Algérie. Moyen de véhiculer la réalité sociale sans tabou ni censure, le raï aborde des thèmes tels que l’amour, </w:t>
      </w:r>
      <w:r w:rsidRPr="0089450B">
        <w:rPr>
          <w:rFonts w:asciiTheme="majorBidi" w:eastAsia="Times New Roman" w:hAnsiTheme="majorBidi" w:cstheme="majorBidi"/>
          <w:sz w:val="28"/>
          <w:szCs w:val="28"/>
        </w:rPr>
        <w:lastRenderedPageBreak/>
        <w:t>la liberté, le désespoir et les pressions sociales. Il était à l’origine pratiqué en milieu rural par des doyens qui chantaient des textes poétiques en arabe vernaculaire, accompagnés d’un orchestre traditionnel. Au début du vingtième siècle, les prima donnas y ajoutent des idées transgressives, en chantant la liberté d’aimer et de désirer, tout en glorifiant dieu et les saints. Au fil du temps, le raï s’est progressivement imposé, d’abord au niveau national lors des rituels et des mariages, puis au niveau mondial grâce à des artistes tels que Khaled et Mami, déplaçant les spectacles des espaces clos vers les événements culturels, les célébrations et les fêtes nationales et religieuses. Son message de liberté et de transgression est devenu universel, porté par des jeunes femmes et des jeunes hommes qui chantent et dansent pour la jeunesse de leur pays et du reste du monde. La musique raï est ainsi considérée comme un genre pour les jeunes, représentant un canal d’expression de leurs sentiments dans leur quête de libération des contraintes sociales. Les musiciens fabriquent et décorent leurs propres instruments et la transmission se fait de manière informelle, par observation, ou formelle, par apprentissage.</w:t>
      </w:r>
      <w:r w:rsidRPr="0089450B">
        <w:rPr>
          <w:rStyle w:val="Appelnotedebasdep"/>
          <w:rFonts w:asciiTheme="majorBidi" w:eastAsia="Times New Roman" w:hAnsiTheme="majorBidi" w:cstheme="majorBidi"/>
          <w:sz w:val="28"/>
          <w:szCs w:val="28"/>
        </w:rPr>
        <w:footnoteReference w:id="22"/>
      </w:r>
    </w:p>
    <w:p w:rsidR="00F30510" w:rsidRPr="0089450B" w:rsidRDefault="00F30510" w:rsidP="00F30510">
      <w:pPr>
        <w:shd w:val="clear" w:color="auto" w:fill="FFFFFF"/>
        <w:spacing w:after="0" w:line="240" w:lineRule="auto"/>
        <w:jc w:val="both"/>
        <w:rPr>
          <w:rFonts w:asciiTheme="majorBidi" w:eastAsia="Times New Roman" w:hAnsiTheme="majorBidi" w:cstheme="majorBidi"/>
          <w:sz w:val="28"/>
          <w:szCs w:val="28"/>
        </w:rPr>
      </w:pPr>
    </w:p>
    <w:p w:rsidR="00452B8C" w:rsidRPr="0089450B" w:rsidRDefault="00F30510" w:rsidP="00F30510">
      <w:pPr>
        <w:spacing w:after="0"/>
        <w:jc w:val="both"/>
        <w:rPr>
          <w:rFonts w:asciiTheme="majorBidi" w:hAnsiTheme="majorBidi" w:cstheme="majorBidi"/>
          <w:b/>
          <w:bCs/>
          <w:sz w:val="28"/>
          <w:szCs w:val="28"/>
        </w:rPr>
      </w:pPr>
      <w:r w:rsidRPr="0089450B">
        <w:rPr>
          <w:rFonts w:asciiTheme="majorBidi" w:hAnsiTheme="majorBidi" w:cstheme="majorBidi"/>
          <w:b/>
          <w:bCs/>
          <w:sz w:val="28"/>
          <w:szCs w:val="28"/>
        </w:rPr>
        <w:t xml:space="preserve">V. 2. </w:t>
      </w:r>
      <w:r w:rsidR="00452B8C" w:rsidRPr="0089450B">
        <w:rPr>
          <w:rFonts w:asciiTheme="majorBidi" w:hAnsiTheme="majorBidi" w:cstheme="majorBidi"/>
          <w:b/>
          <w:bCs/>
          <w:sz w:val="28"/>
          <w:szCs w:val="28"/>
        </w:rPr>
        <w:t>La liste représentative du patrimoine culturel matériel de l’humanité provenant de l’Algérie :</w:t>
      </w:r>
    </w:p>
    <w:p w:rsidR="00195AC9" w:rsidRPr="0089450B" w:rsidRDefault="00195AC9" w:rsidP="00F30510">
      <w:pPr>
        <w:spacing w:after="0"/>
        <w:jc w:val="both"/>
        <w:rPr>
          <w:rFonts w:asciiTheme="majorBidi" w:hAnsiTheme="majorBidi" w:cstheme="majorBidi"/>
          <w:sz w:val="28"/>
          <w:szCs w:val="28"/>
        </w:rPr>
      </w:pPr>
      <w:r w:rsidRPr="0089450B">
        <w:rPr>
          <w:rFonts w:asciiTheme="majorBidi" w:hAnsiTheme="majorBidi" w:cstheme="majorBidi"/>
          <w:sz w:val="28"/>
          <w:szCs w:val="28"/>
        </w:rPr>
        <w:t xml:space="preserve">La liste représentative du patrimoine culturel matériel de l’humanité comporte jusqu’à ce jours 07 </w:t>
      </w:r>
      <w:r w:rsidR="00F13664" w:rsidRPr="0089450B">
        <w:rPr>
          <w:rFonts w:asciiTheme="majorBidi" w:hAnsiTheme="majorBidi" w:cstheme="majorBidi"/>
          <w:sz w:val="28"/>
          <w:szCs w:val="28"/>
        </w:rPr>
        <w:t>biens</w:t>
      </w:r>
      <w:r w:rsidRPr="0089450B">
        <w:rPr>
          <w:rFonts w:asciiTheme="majorBidi" w:hAnsiTheme="majorBidi" w:cstheme="majorBidi"/>
          <w:sz w:val="28"/>
          <w:szCs w:val="28"/>
        </w:rPr>
        <w:t xml:space="preserve"> provenant de l’Algérie.</w:t>
      </w:r>
    </w:p>
    <w:p w:rsidR="002A33CF" w:rsidRPr="0089450B" w:rsidRDefault="00F30510" w:rsidP="002A33CF">
      <w:pPr>
        <w:pStyle w:val="Titre6"/>
        <w:shd w:val="clear" w:color="auto" w:fill="FFFFFF"/>
        <w:spacing w:before="0"/>
        <w:jc w:val="both"/>
        <w:rPr>
          <w:rFonts w:asciiTheme="majorBidi" w:hAnsiTheme="majorBidi"/>
          <w:b/>
          <w:bCs/>
          <w:i w:val="0"/>
          <w:iCs w:val="0"/>
          <w:color w:val="auto"/>
          <w:sz w:val="28"/>
          <w:szCs w:val="28"/>
        </w:rPr>
      </w:pPr>
      <w:r w:rsidRPr="0089450B">
        <w:rPr>
          <w:rFonts w:asciiTheme="majorBidi" w:hAnsiTheme="majorBidi"/>
          <w:b/>
          <w:bCs/>
          <w:i w:val="0"/>
          <w:iCs w:val="0"/>
          <w:color w:val="auto"/>
          <w:sz w:val="28"/>
          <w:szCs w:val="28"/>
        </w:rPr>
        <w:t xml:space="preserve">V. 2. A. </w:t>
      </w:r>
      <w:r w:rsidR="002A33CF" w:rsidRPr="0089450B">
        <w:rPr>
          <w:rFonts w:asciiTheme="majorBidi" w:hAnsiTheme="majorBidi"/>
          <w:b/>
          <w:bCs/>
          <w:i w:val="0"/>
          <w:iCs w:val="0"/>
          <w:color w:val="auto"/>
          <w:sz w:val="28"/>
          <w:szCs w:val="28"/>
        </w:rPr>
        <w:t>Al Qal'a des Beni Hammad</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Dans un site montagneux, les ruines de la première capitale des émirs hammadides, fondée en 1007 et démolie en 1152, offrent une image authentique d'une ville musulmane fortifiée. La mosquée, dont la salle de prière compte 13 nefs avec huit travées, est l'une des plus grandes d'Algérie.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(iii) :</w:t>
      </w:r>
      <w:r w:rsidRPr="0089450B">
        <w:rPr>
          <w:rFonts w:asciiTheme="majorBidi" w:hAnsiTheme="majorBidi" w:cstheme="majorBidi"/>
          <w:sz w:val="28"/>
          <w:szCs w:val="28"/>
        </w:rPr>
        <w:t> La Qal'a des Beni Hammad apporte un témoignage exceptionnel sur la civilisation hammadide aujourd'hui disparue. Fondée en 1007 comme bastion militaire, elle a été élevée au rang de métropole. Il a influencé le développement de l'architecture arabe ainsi que d'autres influences civilisatrices, notamment le Maghreb, l'Andalousie et la Sicile. Les vestiges archéologiques et monumentaux de la Qal'a des Beni Hammad, parmi lesquels figurent la Grande mosquée et son minaret ainsi qu'une série de palais, constituent les principales ressources qui témoignent de la richesse et du rayonnement de cette civilisation hammadide.</w:t>
      </w:r>
      <w:r w:rsidRPr="0089450B">
        <w:rPr>
          <w:rStyle w:val="Appelnotedebasdep"/>
          <w:rFonts w:asciiTheme="majorBidi" w:hAnsiTheme="majorBidi" w:cstheme="majorBidi"/>
          <w:sz w:val="28"/>
          <w:szCs w:val="28"/>
        </w:rPr>
        <w:footnoteReference w:id="23"/>
      </w:r>
    </w:p>
    <w:p w:rsidR="002A33CF" w:rsidRPr="0089450B" w:rsidRDefault="00F30510"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t xml:space="preserve">V. 2. B. </w:t>
      </w:r>
      <w:r w:rsidR="002A33CF" w:rsidRPr="0089450B">
        <w:rPr>
          <w:rFonts w:asciiTheme="majorBidi" w:hAnsiTheme="majorBidi" w:cstheme="majorBidi"/>
          <w:sz w:val="28"/>
          <w:szCs w:val="28"/>
        </w:rPr>
        <w:t>Djémila</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Située à 900 m d'altitude, Djémila, ou Cuicul, avec son forum, ses temples, ses basiliques, ses arcs de triomphe et ses maisons, est un exemple intéressant d'urbanisme romain adapté à un site montagnard.</w:t>
      </w:r>
    </w:p>
    <w:p w:rsidR="002A33CF" w:rsidRPr="0089450B" w:rsidRDefault="002A33CF" w:rsidP="00F30510">
      <w:pPr>
        <w:shd w:val="clear" w:color="auto" w:fill="FFFFFF"/>
        <w:spacing w:after="0"/>
        <w:jc w:val="both"/>
        <w:rPr>
          <w:rFonts w:asciiTheme="majorBidi" w:hAnsiTheme="majorBidi" w:cstheme="majorBidi"/>
          <w:sz w:val="28"/>
          <w:szCs w:val="28"/>
        </w:rPr>
      </w:pPr>
    </w:p>
    <w:p w:rsidR="002A33CF" w:rsidRPr="0089450B" w:rsidRDefault="002A33CF" w:rsidP="00F30510">
      <w:pPr>
        <w:shd w:val="clear" w:color="auto" w:fill="FFFFFF"/>
        <w:spacing w:after="0"/>
        <w:jc w:val="both"/>
        <w:rPr>
          <w:rFonts w:asciiTheme="majorBidi" w:hAnsiTheme="majorBidi" w:cstheme="majorBidi"/>
          <w:sz w:val="28"/>
          <w:szCs w:val="28"/>
        </w:rPr>
      </w:pPr>
      <w:r w:rsidRPr="0089450B">
        <w:rPr>
          <w:rFonts w:asciiTheme="majorBidi" w:hAnsiTheme="majorBidi" w:cstheme="majorBidi"/>
          <w:sz w:val="28"/>
          <w:szCs w:val="28"/>
        </w:rPr>
        <w:t>Située à 900 m d'altitude, Djémila, ou Cuicul, avec son forum, ses temples, ses basiliques, ses arcs de triomphe et ses maisons, est un exemple intéressant d'urbanisme romain adapté à un site montagnard.</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(iii) :</w:t>
      </w:r>
      <w:r w:rsidRPr="0089450B">
        <w:rPr>
          <w:rFonts w:asciiTheme="majorBidi" w:hAnsiTheme="majorBidi" w:cstheme="majorBidi"/>
          <w:sz w:val="28"/>
          <w:szCs w:val="28"/>
        </w:rPr>
        <w:t> Djémila apporte un témoignage exceptionnel sur une civilisation disparue. C'est l'une des plus belles ruines romaines du monde. Les vestiges archéologiques, l'urbanisme romain bien intégré et le milieu environnant constituent les éléments représentatifs des valeurs attribuées à ce site.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(iv) :</w:t>
      </w:r>
      <w:r w:rsidRPr="0089450B">
        <w:rPr>
          <w:rFonts w:asciiTheme="majorBidi" w:hAnsiTheme="majorBidi" w:cstheme="majorBidi"/>
          <w:sz w:val="28"/>
          <w:szCs w:val="28"/>
        </w:rPr>
        <w:t> Djémila est un exemple exceptionnel d'un type d'ensemble architectural illustrant une étape significative de l'histoire romaine de l'Afrique du Nord, du IIe au VIe siècle. Ici, la formule classique de l'urbanisme romain a été adaptée aux contraintes géophysiques du site. Le site comprend un répertoire typologique et architectural très diversifié avec un système défensif et Arc de Triomphe, des bâtiments d'utilité publique et de théâtre, des équipements d'artisanat et de commerce, dont le marché des frères Cosinus qui constitue un témoignage remarquable de la prospérité économique de la ville.</w:t>
      </w:r>
      <w:r w:rsidRPr="0089450B">
        <w:rPr>
          <w:rStyle w:val="Appelnotedebasdep"/>
          <w:rFonts w:asciiTheme="majorBidi" w:hAnsiTheme="majorBidi" w:cstheme="majorBidi"/>
          <w:sz w:val="28"/>
          <w:szCs w:val="28"/>
        </w:rPr>
        <w:footnoteReference w:id="24"/>
      </w:r>
    </w:p>
    <w:p w:rsidR="002A33CF" w:rsidRPr="0089450B" w:rsidRDefault="00F30510"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t>V. 2. . C.</w:t>
      </w:r>
      <w:r w:rsidRPr="0089450B">
        <w:rPr>
          <w:rFonts w:asciiTheme="majorBidi" w:hAnsiTheme="majorBidi" w:cstheme="majorBidi"/>
          <w:b w:val="0"/>
          <w:bCs w:val="0"/>
          <w:sz w:val="28"/>
          <w:szCs w:val="28"/>
        </w:rPr>
        <w:t xml:space="preserve"> </w:t>
      </w:r>
      <w:r w:rsidR="002A33CF" w:rsidRPr="0089450B">
        <w:rPr>
          <w:rFonts w:asciiTheme="majorBidi" w:hAnsiTheme="majorBidi" w:cstheme="majorBidi"/>
          <w:sz w:val="28"/>
          <w:szCs w:val="28"/>
        </w:rPr>
        <w:t>Kasbah d'Alger</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La Kasbah est un type unique de médina, ou ville islamique. Il se trouve dans l'un des sites côtiers de la Méditerranée, surplombant les îles où un comptoir carthaginois a été établi au 4ème siècle avant JC. Il y a les vestiges de la citadelle, d'anciennes mosquées et de palais de style ottoman ainsi que les vestiges d'une structure urbaine traditionnelle associée à un sens profondément enraciné de la communauté.</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La Kasbah d'Alger est un exemple exceptionnel de ville maghrébine historique ayant eu une grande influence sur l'urbanisme de la partie occidentale de la Méditerranée et de l'Afrique subsaharienne.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 :</w:t>
      </w:r>
      <w:r w:rsidRPr="0089450B">
        <w:rPr>
          <w:rFonts w:asciiTheme="majorBidi" w:hAnsiTheme="majorBidi" w:cstheme="majorBidi"/>
          <w:sz w:val="28"/>
          <w:szCs w:val="28"/>
        </w:rPr>
        <w:t> La casbah d'Alger a exercé une influence considérable sur l'architecture et l'urbanisme en Afrique du Nord, en Andalousie et en Afrique subsaharienne au cours des XVIe et XVIIe siècles. Ces échanges s'illustrent par le caractère spécifique de ses habitations et la densité de sa stratification urbaine, modèle d'implantation humaine où le mode de vie ancestral et les coutumes musulmanes se sont mêlés à d'autres types de traditions.   </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(v) :</w:t>
      </w:r>
      <w:r w:rsidRPr="0089450B">
        <w:rPr>
          <w:rFonts w:asciiTheme="majorBidi" w:hAnsiTheme="majorBidi" w:cstheme="majorBidi"/>
          <w:sz w:val="28"/>
          <w:szCs w:val="28"/>
        </w:rPr>
        <w:t> La Kasbah d'Alger est un exemple exceptionnel d'établissement humain traditionnel représentatif d'une culture musulmane profondément méditerranéenne, synthèse de nombreuses traditions. Les vestiges de la citadelle, les mosquées antiques, les palais ottomans, ainsi qu'une structure urbaine traditionnelle associée à un fort sentiment communautaire témoignent de cette culture et sont le résultat de son interaction avec les différentes couches de population.</w:t>
      </w:r>
      <w:r w:rsidRPr="0089450B">
        <w:rPr>
          <w:rStyle w:val="Appelnotedebasdep"/>
          <w:rFonts w:asciiTheme="majorBidi" w:hAnsiTheme="majorBidi" w:cstheme="majorBidi"/>
          <w:sz w:val="28"/>
          <w:szCs w:val="28"/>
        </w:rPr>
        <w:footnoteReference w:id="25"/>
      </w:r>
    </w:p>
    <w:p w:rsidR="002A33CF" w:rsidRPr="0089450B" w:rsidRDefault="00F30510"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lastRenderedPageBreak/>
        <w:t>V. 2. D.</w:t>
      </w:r>
      <w:r w:rsidRPr="0089450B">
        <w:rPr>
          <w:rFonts w:asciiTheme="majorBidi" w:hAnsiTheme="majorBidi" w:cstheme="majorBidi"/>
          <w:b w:val="0"/>
          <w:bCs w:val="0"/>
          <w:sz w:val="28"/>
          <w:szCs w:val="28"/>
        </w:rPr>
        <w:t xml:space="preserve"> </w:t>
      </w:r>
      <w:r w:rsidR="002A33CF" w:rsidRPr="0089450B">
        <w:rPr>
          <w:rFonts w:asciiTheme="majorBidi" w:hAnsiTheme="majorBidi" w:cstheme="majorBidi"/>
          <w:sz w:val="28"/>
          <w:szCs w:val="28"/>
        </w:rPr>
        <w:t>Vallée du M'Zab :</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Un habitat humain traditionnel, créé au Xe siècle par les Ibadites autour de leurs cinq </w:t>
      </w:r>
      <w:r w:rsidRPr="0089450B">
        <w:rPr>
          <w:rStyle w:val="Accentuation"/>
          <w:rFonts w:asciiTheme="majorBidi" w:eastAsiaTheme="minorHAnsi" w:hAnsiTheme="majorBidi" w:cstheme="majorBidi"/>
          <w:sz w:val="28"/>
          <w:szCs w:val="28"/>
        </w:rPr>
        <w:t>ksour</w:t>
      </w:r>
      <w:r w:rsidRPr="0089450B">
        <w:rPr>
          <w:rFonts w:asciiTheme="majorBidi" w:hAnsiTheme="majorBidi" w:cstheme="majorBidi"/>
          <w:sz w:val="28"/>
          <w:szCs w:val="28"/>
        </w:rPr>
        <w:t> (villes fortifiées), a été préservé intact dans la vallée du M'Zab. Simple, fonctionnelle et parfaitement adaptée à l'environnement, l'architecture du M'Zab a été conçue pour la vie en communauté, tout en respectant la structure de la famille. C'est une source d'inspiration pour les urbanistes d'aujourd'hui.</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 :</w:t>
      </w:r>
      <w:r w:rsidRPr="0089450B">
        <w:rPr>
          <w:rFonts w:asciiTheme="majorBidi" w:hAnsiTheme="majorBidi" w:cstheme="majorBidi"/>
          <w:sz w:val="28"/>
          <w:szCs w:val="28"/>
        </w:rPr>
        <w:t> Les ensembles anthropiques de la vallée du M'Zab témoignent, par leur architecture d'une grande originalité datant du début du XIe siècle et par leur rigueur et leur organisation, d'un modèle d'occupation exceptionnel et original d'établissements humains du patrimoine culturel région du Sahara central. Cet habitat modèle a exercé une influence considérable pendant près d'un millénaire sur l'architecture et l'urbanisme arabes, notamment sur les architectes et urbanistes du XXe siècle, de Le Corbusier à Fernand Pouillon et André Raverau.</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(iii) :</w:t>
      </w:r>
      <w:r w:rsidRPr="0089450B">
        <w:rPr>
          <w:rFonts w:asciiTheme="majorBidi" w:hAnsiTheme="majorBidi" w:cstheme="majorBidi"/>
          <w:sz w:val="28"/>
          <w:szCs w:val="28"/>
        </w:rPr>
        <w:t> Les trois éléments constitutifs des ensembles urbains et habitats de la vallée du M'Zab : ksar, cimetière et palmeraie avec sa citadelle d'été, sont un témoignage exceptionnel de la culture ibadite à son apogée et du principe égalitaire qui méticuleusement appliqué par la société mozabite.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(v) :</w:t>
      </w:r>
      <w:r w:rsidRPr="0089450B">
        <w:rPr>
          <w:rFonts w:asciiTheme="majorBidi" w:hAnsiTheme="majorBidi" w:cstheme="majorBidi"/>
          <w:sz w:val="28"/>
          <w:szCs w:val="28"/>
        </w:rPr>
        <w:t> Les éléments constitutifs de la vallée du M'Zab constituent un exemple exceptionnel d'établissement humain traditionnel, représentatif de la culture ibadite qui, par l'ingénieux système de captage et de distribution de l'eau et la création de palmeraies, témoigne de la interaction humaine extrêmement efficace avec un environnement semi-désertique.</w:t>
      </w:r>
      <w:r w:rsidRPr="0089450B">
        <w:rPr>
          <w:rStyle w:val="Appelnotedebasdep"/>
          <w:rFonts w:asciiTheme="majorBidi" w:hAnsiTheme="majorBidi" w:cstheme="majorBidi"/>
          <w:sz w:val="28"/>
          <w:szCs w:val="28"/>
        </w:rPr>
        <w:footnoteReference w:id="26"/>
      </w:r>
    </w:p>
    <w:p w:rsidR="002A33CF" w:rsidRPr="0089450B" w:rsidRDefault="00F30510"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t xml:space="preserve">V. 2. </w:t>
      </w:r>
      <w:r w:rsidR="0089450B" w:rsidRPr="0089450B">
        <w:rPr>
          <w:rFonts w:asciiTheme="majorBidi" w:hAnsiTheme="majorBidi" w:cstheme="majorBidi"/>
          <w:sz w:val="28"/>
          <w:szCs w:val="28"/>
        </w:rPr>
        <w:t xml:space="preserve">E. </w:t>
      </w:r>
      <w:r w:rsidR="002A33CF" w:rsidRPr="0089450B">
        <w:rPr>
          <w:rFonts w:asciiTheme="majorBidi" w:hAnsiTheme="majorBidi" w:cstheme="majorBidi"/>
          <w:sz w:val="28"/>
          <w:szCs w:val="28"/>
        </w:rPr>
        <w:t>Timgad</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Timgad se trouve sur le versant nord des montagnes des Aurès et a été créée </w:t>
      </w:r>
      <w:r w:rsidRPr="0089450B">
        <w:rPr>
          <w:rStyle w:val="Accentuation"/>
          <w:rFonts w:asciiTheme="majorBidi" w:eastAsiaTheme="minorHAnsi" w:hAnsiTheme="majorBidi" w:cstheme="majorBidi"/>
          <w:sz w:val="28"/>
          <w:szCs w:val="28"/>
        </w:rPr>
        <w:t>ex nihilo</w:t>
      </w:r>
      <w:r w:rsidRPr="0089450B">
        <w:rPr>
          <w:rFonts w:asciiTheme="majorBidi" w:hAnsiTheme="majorBidi" w:cstheme="majorBidi"/>
          <w:sz w:val="28"/>
          <w:szCs w:val="28"/>
        </w:rPr>
        <w:t> en tant que colonie militaire par l'empereur Trajan en l'an 100. Avec son enceinte carrée et sa conception orthogonale basée sur le </w:t>
      </w:r>
      <w:r w:rsidRPr="0089450B">
        <w:rPr>
          <w:rStyle w:val="Accentuation"/>
          <w:rFonts w:asciiTheme="majorBidi" w:eastAsiaTheme="minorHAnsi" w:hAnsiTheme="majorBidi" w:cstheme="majorBidi"/>
          <w:sz w:val="28"/>
          <w:szCs w:val="28"/>
        </w:rPr>
        <w:t>cardo</w:t>
      </w:r>
      <w:r w:rsidRPr="0089450B">
        <w:rPr>
          <w:rFonts w:asciiTheme="majorBidi" w:hAnsiTheme="majorBidi" w:cstheme="majorBidi"/>
          <w:sz w:val="28"/>
          <w:szCs w:val="28"/>
        </w:rPr>
        <w:t> et le </w:t>
      </w:r>
      <w:r w:rsidRPr="0089450B">
        <w:rPr>
          <w:rStyle w:val="Accentuation"/>
          <w:rFonts w:asciiTheme="majorBidi" w:eastAsiaTheme="minorHAnsi" w:hAnsiTheme="majorBidi" w:cstheme="majorBidi"/>
          <w:sz w:val="28"/>
          <w:szCs w:val="28"/>
        </w:rPr>
        <w:t>decumanus</w:t>
      </w:r>
      <w:r w:rsidRPr="0089450B">
        <w:rPr>
          <w:rFonts w:asciiTheme="majorBidi" w:hAnsiTheme="majorBidi" w:cstheme="majorBidi"/>
          <w:sz w:val="28"/>
          <w:szCs w:val="28"/>
        </w:rPr>
        <w:t> , les deux routes perpendiculaires traversant la ville, c'est un excellent exemple d'urbanisme romain.</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b/>
          <w:bCs/>
          <w:sz w:val="28"/>
          <w:szCs w:val="28"/>
        </w:rPr>
        <w:t>Critère (ii) :</w:t>
      </w:r>
      <w:r w:rsidRPr="0089450B">
        <w:rPr>
          <w:rFonts w:asciiTheme="majorBidi" w:hAnsiTheme="majorBidi" w:cstheme="majorBidi"/>
          <w:sz w:val="28"/>
          <w:szCs w:val="28"/>
        </w:rPr>
        <w:t xml:space="preserve"> Le site de Timgad, avec son camp militaire romain, son urbanisme modèle et son type particulier d'architecture civile et militaire reflète un important échange d'idées, de technologies et de traditions exercé par le pouvoir central de Rome sur la colonisation des hauts plateaux de l'Algérie antique.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b/>
          <w:bCs/>
          <w:sz w:val="28"/>
          <w:szCs w:val="28"/>
        </w:rPr>
        <w:t>Critère (iii) :</w:t>
      </w:r>
      <w:r w:rsidRPr="0089450B">
        <w:rPr>
          <w:rFonts w:asciiTheme="majorBidi" w:hAnsiTheme="majorBidi" w:cstheme="majorBidi"/>
          <w:sz w:val="28"/>
          <w:szCs w:val="28"/>
        </w:rPr>
        <w:t xml:space="preserve"> Timgad adopte les orientations de l'urbanisme romain régi par un remarquable système de quadrillage. Timgad constitue ainsi un exemple type de modèle urbain, la permanence du plan originel du campement militaire ayant gouverné l'aménagement du site à travers toutes les périodes ultérieures et continue encore de témoigner de l'inventivité constructive des ingénieurs militaires de l'époque romaine, civilisation, aujourd'hui disparue. </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b/>
          <w:bCs/>
          <w:sz w:val="28"/>
          <w:szCs w:val="28"/>
        </w:rPr>
        <w:lastRenderedPageBreak/>
        <w:t>Critère (iv) :</w:t>
      </w:r>
      <w:r w:rsidRPr="0089450B">
        <w:rPr>
          <w:rFonts w:asciiTheme="majorBidi" w:hAnsiTheme="majorBidi" w:cstheme="majorBidi"/>
          <w:sz w:val="28"/>
          <w:szCs w:val="28"/>
        </w:rPr>
        <w:t xml:space="preserve"> Timgad possède un riche inventaire architectural comprenant des typologies nombreuses et diversifiées, relatives aux différentes étapes historiques de sa construction : le système défensif, les bâtiments d'équipements publics et de spectacles, et un ensemble religieux. Timgad illustre une image vivante de la colonisation romaine en Afrique du Nord pendant trois siècles.</w:t>
      </w:r>
      <w:r w:rsidRPr="0089450B">
        <w:rPr>
          <w:rStyle w:val="Appelnotedebasdep"/>
          <w:rFonts w:asciiTheme="majorBidi" w:hAnsiTheme="majorBidi" w:cstheme="majorBidi"/>
          <w:sz w:val="28"/>
          <w:szCs w:val="28"/>
        </w:rPr>
        <w:footnoteReference w:id="27"/>
      </w:r>
    </w:p>
    <w:p w:rsidR="002A33CF" w:rsidRPr="0089450B" w:rsidRDefault="0089450B"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t xml:space="preserve">V. 2. F. </w:t>
      </w:r>
      <w:r w:rsidR="002A33CF" w:rsidRPr="0089450B">
        <w:rPr>
          <w:rFonts w:asciiTheme="majorBidi" w:hAnsiTheme="majorBidi" w:cstheme="majorBidi"/>
          <w:sz w:val="28"/>
          <w:szCs w:val="28"/>
        </w:rPr>
        <w:t>Tipasa</w:t>
      </w:r>
      <w:r w:rsidRPr="0089450B">
        <w:rPr>
          <w:rFonts w:asciiTheme="majorBidi" w:hAnsiTheme="majorBidi" w:cstheme="majorBidi"/>
          <w:sz w:val="28"/>
          <w:szCs w:val="28"/>
        </w:rPr>
        <w:t> :</w:t>
      </w:r>
    </w:p>
    <w:p w:rsidR="002A33CF" w:rsidRPr="0089450B" w:rsidRDefault="002A33CF" w:rsidP="00F30510">
      <w:pPr>
        <w:pBdr>
          <w:bottom w:val="single" w:sz="6" w:space="1" w:color="D5DADD"/>
        </w:pBdr>
        <w:shd w:val="clear" w:color="auto" w:fill="FFFFFF"/>
        <w:spacing w:before="100" w:beforeAutospacing="1" w:after="0" w:line="240" w:lineRule="auto"/>
        <w:jc w:val="both"/>
        <w:rPr>
          <w:rFonts w:asciiTheme="majorBidi" w:hAnsiTheme="majorBidi" w:cstheme="majorBidi"/>
          <w:sz w:val="28"/>
          <w:szCs w:val="28"/>
        </w:rPr>
      </w:pPr>
      <w:r w:rsidRPr="0089450B">
        <w:rPr>
          <w:rFonts w:asciiTheme="majorBidi" w:hAnsiTheme="majorBidi" w:cstheme="majorBidi"/>
          <w:sz w:val="28"/>
          <w:szCs w:val="28"/>
        </w:rPr>
        <w:t>Au bord de la Méditerranée, Tipasa était un ancien comptoir punique conquis par Rome et transformé en base stratégique pour la conquête des royaumes de Mauritanie. Il comprend un ensemble unique de ruines phéniciennes, romaines, paléochrétiennes et byzantines aux côtés de monuments indigènes tels que le Kbor er Roumia, le grand mausolée royal de Maurétanie.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(iii) :</w:t>
      </w:r>
      <w:r w:rsidRPr="0089450B">
        <w:rPr>
          <w:rFonts w:asciiTheme="majorBidi" w:hAnsiTheme="majorBidi" w:cstheme="majorBidi"/>
          <w:sz w:val="28"/>
          <w:szCs w:val="28"/>
        </w:rPr>
        <w:t> Tipasa apporte un témoignage exceptionnel sur les civilisations puniques et romaines aujourd'hui disparues.</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(iv) :</w:t>
      </w:r>
      <w:r w:rsidRPr="0089450B">
        <w:rPr>
          <w:rFonts w:asciiTheme="majorBidi" w:hAnsiTheme="majorBidi" w:cstheme="majorBidi"/>
          <w:sz w:val="28"/>
          <w:szCs w:val="28"/>
        </w:rPr>
        <w:t> Les vestiges architecturaux et archéologiques de Tipasa reflètent de manière significative les contacts entre les civilisations indigènes et les vagues de colonisation punique et romaine entre le VIe siècle avant J.-C. et le VIe siècle après J.-C.</w:t>
      </w:r>
      <w:r w:rsidRPr="0089450B">
        <w:rPr>
          <w:rStyle w:val="Appelnotedebasdep"/>
          <w:rFonts w:asciiTheme="majorBidi" w:hAnsiTheme="majorBidi" w:cstheme="majorBidi"/>
          <w:sz w:val="28"/>
          <w:szCs w:val="28"/>
        </w:rPr>
        <w:footnoteReference w:id="28"/>
      </w:r>
    </w:p>
    <w:p w:rsidR="002A33CF" w:rsidRPr="0089450B" w:rsidRDefault="0089450B" w:rsidP="00F30510">
      <w:pPr>
        <w:pStyle w:val="Titre1"/>
        <w:shd w:val="clear" w:color="auto" w:fill="FFFFFF"/>
        <w:spacing w:after="0" w:afterAutospacing="0"/>
        <w:jc w:val="both"/>
        <w:rPr>
          <w:rFonts w:asciiTheme="majorBidi" w:hAnsiTheme="majorBidi" w:cstheme="majorBidi"/>
          <w:sz w:val="28"/>
          <w:szCs w:val="28"/>
        </w:rPr>
      </w:pPr>
      <w:r w:rsidRPr="0089450B">
        <w:rPr>
          <w:rFonts w:asciiTheme="majorBidi" w:hAnsiTheme="majorBidi" w:cstheme="majorBidi"/>
          <w:sz w:val="28"/>
          <w:szCs w:val="28"/>
        </w:rPr>
        <w:t xml:space="preserve">V. 2. G. </w:t>
      </w:r>
      <w:r w:rsidR="002A33CF" w:rsidRPr="0089450B">
        <w:rPr>
          <w:rFonts w:asciiTheme="majorBidi" w:hAnsiTheme="majorBidi" w:cstheme="majorBidi"/>
          <w:sz w:val="28"/>
          <w:szCs w:val="28"/>
        </w:rPr>
        <w:t>Tassili n'Ajjer</w:t>
      </w:r>
      <w:r w:rsidRPr="0089450B">
        <w:rPr>
          <w:rFonts w:asciiTheme="majorBidi" w:hAnsiTheme="majorBidi" w:cstheme="majorBidi"/>
          <w:sz w:val="28"/>
          <w:szCs w:val="28"/>
        </w:rPr>
        <w:t> :</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Situé dans un étrange paysage lunaire d'un grand intérêt géologique, ce site abrite l'un des plus importants ensembles d'art rupestre préhistorique au monde. Plus de 15 000 dessins et gravures enregistrent les changements climatiques, les migrations animales et l'évolution de la vie humaine aux confins du Sahara de 6000 avant JC aux premiers siècles de l'ère actuelle. Les formations géologiques présentent un intérêt paysager exceptionnel, avec des grès érodés formant des « forêts de roche ».</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 :</w:t>
      </w:r>
      <w:r w:rsidRPr="0089450B">
        <w:rPr>
          <w:rFonts w:asciiTheme="majorBidi" w:hAnsiTheme="majorBidi" w:cstheme="majorBidi"/>
          <w:sz w:val="28"/>
          <w:szCs w:val="28"/>
        </w:rPr>
        <w:t> L'impressionnant éventail de peintures et de gravures rupestres de différentes périodes confère au bien une reconnaissance mondiale. Les représentations de la Période des Têtes Rondes évoquent d'éventuelles pratiques magico-religieuses vieilles de 10 000 ans, alors que les représentations de la Période des Bovins dépeignant la vie quotidienne et sociale, et qui comptent parmi les plus célèbres de l'art pariétal préhistorique, ont un réalisme esthétique naturaliste. Les dernières images représentent l'apprivoisement des chevaux et des chameaux.</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(iii) :</w:t>
      </w:r>
      <w:r w:rsidRPr="0089450B">
        <w:rPr>
          <w:rFonts w:asciiTheme="majorBidi" w:hAnsiTheme="majorBidi" w:cstheme="majorBidi"/>
          <w:sz w:val="28"/>
          <w:szCs w:val="28"/>
        </w:rPr>
        <w:t> Les images d'art rupestre couvrent une période d'environ 10 000 ans. Avec les vestiges archéologiques, ils témoignent de manière particulièrement vivante des changements climatiques, des modifications de la faune et de la flore, et surtout des possibilités offertes de vie agricole et pastorale liées à des sites défensifs imprenables à certaines périodes préhistoriques.</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lastRenderedPageBreak/>
        <w:t>Critère (vii) :</w:t>
      </w:r>
      <w:r w:rsidRPr="0089450B">
        <w:rPr>
          <w:rFonts w:asciiTheme="majorBidi" w:hAnsiTheme="majorBidi" w:cstheme="majorBidi"/>
          <w:sz w:val="28"/>
          <w:szCs w:val="28"/>
        </w:rPr>
        <w:t> Avec le grès érodé formant des « forêts rocheuses », le bien présente un intérêt paysager remarquable. Le grès a gardé intactes les traces et les marques des grands événements géologiques et climatiques. Les effets corrosifs de l'eau, puis du vent, ont contribué à la formation d'une morphologie particulière, celle d'un plateau sculpté par l'eau et adouci par le vent.</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Style w:val="lev"/>
          <w:rFonts w:asciiTheme="majorBidi" w:hAnsiTheme="majorBidi" w:cstheme="majorBidi"/>
          <w:sz w:val="28"/>
          <w:szCs w:val="28"/>
        </w:rPr>
        <w:t>Critère (viii) :</w:t>
      </w:r>
      <w:r w:rsidRPr="0089450B">
        <w:rPr>
          <w:rFonts w:asciiTheme="majorBidi" w:hAnsiTheme="majorBidi" w:cstheme="majorBidi"/>
          <w:sz w:val="28"/>
          <w:szCs w:val="28"/>
        </w:rPr>
        <w:t> La conformation géologique du Tassili n'Ajjer comprend des éléments cristallins précambriens et des successions de grès sédimentaires d'un grand intérêt paléogéographique et paléoécologique.</w:t>
      </w:r>
    </w:p>
    <w:p w:rsidR="002A33CF" w:rsidRPr="0089450B" w:rsidRDefault="002A33CF" w:rsidP="00F30510">
      <w:pPr>
        <w:pStyle w:val="NormalWeb"/>
        <w:shd w:val="clear" w:color="auto" w:fill="FFFFFF"/>
        <w:spacing w:before="0" w:beforeAutospacing="0" w:after="0" w:afterAutospacing="0"/>
        <w:jc w:val="both"/>
        <w:rPr>
          <w:rFonts w:asciiTheme="majorBidi" w:hAnsiTheme="majorBidi" w:cstheme="majorBidi"/>
          <w:sz w:val="28"/>
          <w:szCs w:val="28"/>
        </w:rPr>
      </w:pPr>
      <w:r w:rsidRPr="0089450B">
        <w:rPr>
          <w:rFonts w:asciiTheme="majorBidi" w:hAnsiTheme="majorBidi" w:cstheme="majorBidi"/>
          <w:sz w:val="28"/>
          <w:szCs w:val="28"/>
        </w:rPr>
        <w:t>Les humains ont vécu dans cette région en développant des comportements culturels et physiologiques adaptés à la rigueur du climat ; leurs vestiges datent de plusieurs centaines de milliers d'années. L'art rupestre du Tassili n'Ajjer, est l'expression la plus éloquente des relations entre l'homme et l'environnement, avec plus de 15 000 dessins et gravures témoignant des changements climatiques, des migrations de la faune et de l'évolution de l'humanité aux confins du Sahara. Cet art représente des espèces dépendantes de l'eau comme l'hippopotame et des espèces éteintes dans la région depuis des milliers d'années. Cette combinaison d'éléments géologiques, écologiques et culturels est un exemple très représentatif d'un témoignage de la vie.</w:t>
      </w:r>
    </w:p>
    <w:p w:rsidR="002A33CF" w:rsidRPr="0089450B" w:rsidRDefault="002A33CF" w:rsidP="002A33CF">
      <w:pPr>
        <w:pStyle w:val="Titre5"/>
        <w:shd w:val="clear" w:color="auto" w:fill="FFFFFF"/>
        <w:spacing w:before="0"/>
        <w:jc w:val="both"/>
        <w:rPr>
          <w:rFonts w:asciiTheme="majorBidi" w:hAnsiTheme="majorBidi"/>
          <w:color w:val="auto"/>
          <w:sz w:val="28"/>
          <w:szCs w:val="28"/>
        </w:rPr>
      </w:pPr>
      <w:r w:rsidRPr="0089450B">
        <w:rPr>
          <w:rFonts w:asciiTheme="majorBidi" w:hAnsiTheme="majorBidi"/>
          <w:color w:val="auto"/>
          <w:sz w:val="28"/>
          <w:szCs w:val="28"/>
        </w:rPr>
        <w:t>Remarques : Bien inscrit pour ses valeurs géologiques et écologiques selon le critère naturel N (ii) avant 1994. Le critère N (i) a été ajouté.</w:t>
      </w:r>
      <w:r w:rsidRPr="0089450B">
        <w:rPr>
          <w:rStyle w:val="Appelnotedebasdep"/>
          <w:rFonts w:asciiTheme="majorBidi" w:hAnsiTheme="majorBidi"/>
          <w:color w:val="auto"/>
          <w:sz w:val="28"/>
          <w:szCs w:val="28"/>
        </w:rPr>
        <w:footnoteReference w:id="29"/>
      </w:r>
    </w:p>
    <w:p w:rsidR="002A33CF" w:rsidRPr="0089450B" w:rsidRDefault="002A33CF" w:rsidP="00F30510">
      <w:pPr>
        <w:spacing w:after="0"/>
      </w:pPr>
    </w:p>
    <w:p w:rsidR="001F1F16" w:rsidRPr="0089450B" w:rsidRDefault="001F1F16" w:rsidP="0005357F">
      <w:pPr>
        <w:jc w:val="both"/>
        <w:rPr>
          <w:rFonts w:asciiTheme="majorBidi" w:hAnsiTheme="majorBidi" w:cstheme="majorBidi"/>
          <w:sz w:val="32"/>
          <w:szCs w:val="32"/>
        </w:rPr>
      </w:pPr>
    </w:p>
    <w:p w:rsidR="00665449" w:rsidRPr="0089450B" w:rsidRDefault="00665449">
      <w:pPr>
        <w:rPr>
          <w:sz w:val="32"/>
          <w:szCs w:val="32"/>
        </w:rPr>
      </w:pPr>
    </w:p>
    <w:sectPr w:rsidR="00665449" w:rsidRPr="0089450B" w:rsidSect="00FC1676">
      <w:headerReference w:type="default" r:id="rId13"/>
      <w:footerReference w:type="default" r:id="rId14"/>
      <w:footnotePr>
        <w:numRestart w:val="eachPage"/>
      </w:footnotePr>
      <w:endnotePr>
        <w:numFmt w:val="decimal"/>
      </w:endnotePr>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972" w:rsidRDefault="00272972" w:rsidP="00E0222C">
      <w:pPr>
        <w:spacing w:after="0" w:line="240" w:lineRule="auto"/>
      </w:pPr>
      <w:r>
        <w:separator/>
      </w:r>
    </w:p>
  </w:endnote>
  <w:endnote w:type="continuationSeparator" w:id="1">
    <w:p w:rsidR="00272972" w:rsidRDefault="00272972" w:rsidP="00E0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649"/>
      <w:docPartObj>
        <w:docPartGallery w:val="Page Numbers (Bottom of Page)"/>
        <w:docPartUnique/>
      </w:docPartObj>
    </w:sdtPr>
    <w:sdtContent>
      <w:p w:rsidR="008607BD" w:rsidRDefault="00A9306C">
        <w:pPr>
          <w:pStyle w:val="Pieddepage"/>
          <w:jc w:val="center"/>
        </w:pPr>
        <w:fldSimple w:instr=" PAGE   \* MERGEFORMAT ">
          <w:r w:rsidR="00541A57">
            <w:rPr>
              <w:noProof/>
            </w:rPr>
            <w:t>1</w:t>
          </w:r>
        </w:fldSimple>
      </w:p>
    </w:sdtContent>
  </w:sdt>
  <w:p w:rsidR="008607BD" w:rsidRDefault="008607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972" w:rsidRDefault="00272972" w:rsidP="00E0222C">
      <w:pPr>
        <w:spacing w:after="0" w:line="240" w:lineRule="auto"/>
      </w:pPr>
      <w:r>
        <w:separator/>
      </w:r>
    </w:p>
  </w:footnote>
  <w:footnote w:type="continuationSeparator" w:id="1">
    <w:p w:rsidR="00272972" w:rsidRDefault="00272972" w:rsidP="00E0222C">
      <w:pPr>
        <w:spacing w:after="0" w:line="240" w:lineRule="auto"/>
      </w:pPr>
      <w:r>
        <w:continuationSeparator/>
      </w:r>
    </w:p>
  </w:footnote>
  <w:footnote w:id="2">
    <w:p w:rsidR="008607BD" w:rsidRDefault="008607BD">
      <w:pPr>
        <w:pStyle w:val="Notedebasdepage"/>
      </w:pPr>
      <w:r>
        <w:rPr>
          <w:rStyle w:val="Appelnotedebasdep"/>
        </w:rPr>
        <w:footnoteRef/>
      </w:r>
      <w:r>
        <w:t xml:space="preserve"> Larousse, repéré sur </w:t>
      </w:r>
      <w:r w:rsidRPr="001C224E">
        <w:t>https://www.larousse.fr/encyclopedie/divers/patrimoine/77550</w:t>
      </w:r>
    </w:p>
  </w:footnote>
  <w:footnote w:id="3">
    <w:p w:rsidR="008607BD" w:rsidRPr="003C1E38" w:rsidRDefault="008607BD" w:rsidP="00FB25A1">
      <w:pPr>
        <w:pStyle w:val="Notedebasdepage"/>
      </w:pPr>
      <w:r w:rsidRPr="003C1E38">
        <w:rPr>
          <w:rStyle w:val="Appelnotedebasdep"/>
        </w:rPr>
        <w:footnoteRef/>
      </w:r>
      <w:r w:rsidRPr="003C1E38">
        <w:t xml:space="preserve"> UNESCO, </w:t>
      </w:r>
      <w:r>
        <w:rPr>
          <w:rFonts w:cs="MyriadPro-Bold"/>
        </w:rPr>
        <w:t>Patrimoine culturel immatériel, p. 3</w:t>
      </w:r>
    </w:p>
  </w:footnote>
  <w:footnote w:id="4">
    <w:p w:rsidR="008607BD" w:rsidRDefault="008607BD" w:rsidP="00F76142">
      <w:pPr>
        <w:pStyle w:val="Notedebasdepage"/>
      </w:pPr>
      <w:r>
        <w:rPr>
          <w:rStyle w:val="Appelnotedebasdep"/>
        </w:rPr>
        <w:footnoteRef/>
      </w:r>
      <w:r>
        <w:t xml:space="preserve"> UNESCO (2014), Patrimoine, in  </w:t>
      </w:r>
      <w:r w:rsidRPr="00D52576">
        <w:rPr>
          <w:i/>
          <w:iCs/>
        </w:rPr>
        <w:t>Indicateurs UNESCO de la culture pour le développement, Manuel méthodologique</w:t>
      </w:r>
      <w:r>
        <w:t xml:space="preserve">, Paris, p. 132, repéré sur  </w:t>
      </w:r>
      <w:r>
        <w:cr/>
      </w:r>
      <w:r w:rsidRPr="00D52576">
        <w:t xml:space="preserve"> https://fr.unesco.org/creativity/sites/creativity/files/iucd_manuel_metodologique_0_0.pdf</w:t>
      </w:r>
    </w:p>
  </w:footnote>
  <w:footnote w:id="5">
    <w:p w:rsidR="008607BD" w:rsidRPr="003F4FA6" w:rsidRDefault="008607BD" w:rsidP="00E0222C">
      <w:pPr>
        <w:pStyle w:val="Notedebasdepage"/>
      </w:pPr>
      <w:r>
        <w:rPr>
          <w:rStyle w:val="Appelnotedebasdep"/>
        </w:rPr>
        <w:footnoteRef/>
      </w:r>
      <w:r w:rsidRPr="003F4FA6">
        <w:t xml:space="preserve"> </w:t>
      </w:r>
      <w:hyperlink r:id="rId1" w:history="1">
        <w:r w:rsidRPr="003F4FA6">
          <w:rPr>
            <w:rStyle w:val="Lienhypertexte"/>
          </w:rPr>
          <w:t>http://www.unesco.org/new/fr/culture/themes/illicit-trafficking-of-cultural-property/unesco-database-of-national-cultural-heritage-laws/frequently-asked-questions/definition-of-the-cultural-heritage/</w:t>
        </w:r>
      </w:hyperlink>
    </w:p>
  </w:footnote>
  <w:footnote w:id="6">
    <w:p w:rsidR="008607BD" w:rsidRDefault="008607BD" w:rsidP="00A80819">
      <w:pPr>
        <w:pStyle w:val="Notedebasdepage"/>
      </w:pPr>
      <w:r>
        <w:rPr>
          <w:rStyle w:val="Appelnotedebasdep"/>
        </w:rPr>
        <w:footnoteRef/>
      </w:r>
      <w:r>
        <w:t xml:space="preserve"> UNESCO (2014), Patrimoine, in  </w:t>
      </w:r>
      <w:r w:rsidRPr="00D52576">
        <w:rPr>
          <w:i/>
          <w:iCs/>
        </w:rPr>
        <w:t>Indicateurs UNESCO de la culture pour le développement, Manuel méthodologique</w:t>
      </w:r>
      <w:r>
        <w:t xml:space="preserve">, Paris, p. 134, repéré sur  </w:t>
      </w:r>
      <w:r>
        <w:cr/>
      </w:r>
      <w:r w:rsidRPr="00D52576">
        <w:t xml:space="preserve"> https://fr.unesco.org/creativity/sites/creativity/files/iucd_manuel_metodologique_0_0.pdf</w:t>
      </w:r>
    </w:p>
  </w:footnote>
  <w:footnote w:id="7">
    <w:p w:rsidR="008607BD" w:rsidRDefault="008607BD" w:rsidP="00E0222C">
      <w:pPr>
        <w:pStyle w:val="Notedebasdepage"/>
      </w:pPr>
      <w:r>
        <w:rPr>
          <w:rStyle w:val="Appelnotedebasdep"/>
        </w:rPr>
        <w:footnoteRef/>
      </w:r>
      <w:r>
        <w:t xml:space="preserve"> </w:t>
      </w:r>
      <w:hyperlink r:id="rId2" w:anchor="art2" w:history="1">
        <w:r>
          <w:rPr>
            <w:rStyle w:val="Lienhypertexte"/>
          </w:rPr>
          <w:t>https://ich.unesco.org/fr/convention#art2</w:t>
        </w:r>
      </w:hyperlink>
    </w:p>
  </w:footnote>
  <w:footnote w:id="8">
    <w:p w:rsidR="008607BD" w:rsidRDefault="008607BD" w:rsidP="000F35D0">
      <w:pPr>
        <w:pStyle w:val="Notedebasdepage"/>
      </w:pPr>
      <w:r>
        <w:rPr>
          <w:rStyle w:val="Appelnotedebasdep"/>
        </w:rPr>
        <w:footnoteRef/>
      </w:r>
      <w:r>
        <w:t xml:space="preserve">  UNSECO,</w:t>
      </w:r>
      <w:r w:rsidRPr="000F35D0">
        <w:t xml:space="preserve"> Patrimoine culturel immatériel</w:t>
      </w:r>
      <w:r>
        <w:t xml:space="preserve">,  p. 4-5 repéré sur </w:t>
      </w:r>
      <w:hyperlink r:id="rId3" w:history="1">
        <w:r>
          <w:rPr>
            <w:rStyle w:val="Lienhypertexte"/>
          </w:rPr>
          <w:t>https://ich.unesco.org/fr/qu-est-ce-que-le-patrimoine-culturel-immateriel-00003</w:t>
        </w:r>
      </w:hyperlink>
    </w:p>
  </w:footnote>
  <w:footnote w:id="9">
    <w:p w:rsidR="008607BD" w:rsidRDefault="008607BD" w:rsidP="000F35D0">
      <w:pPr>
        <w:pStyle w:val="Notedebasdepage"/>
      </w:pPr>
      <w:r>
        <w:rPr>
          <w:rStyle w:val="Appelnotedebasdep"/>
        </w:rPr>
        <w:footnoteRef/>
      </w:r>
      <w:r>
        <w:t xml:space="preserve">  UNESCO (2021), </w:t>
      </w:r>
      <w:r w:rsidRPr="005E3019">
        <w:t>Orientations devant guider la mise en œuvre de la Convention du patrimoine mondial</w:t>
      </w:r>
      <w:r>
        <w:t xml:space="preserve">, Paris, p. 23-30, repéré sur </w:t>
      </w:r>
      <w:r w:rsidRPr="005E3019">
        <w:t>https://whc.unesco.org/fr/orientations/</w:t>
      </w:r>
    </w:p>
  </w:footnote>
  <w:footnote w:id="10">
    <w:p w:rsidR="008607BD" w:rsidRDefault="008607BD">
      <w:pPr>
        <w:pStyle w:val="Notedebasdepage"/>
      </w:pPr>
      <w:r>
        <w:rPr>
          <w:rStyle w:val="Appelnotedebasdep"/>
        </w:rPr>
        <w:footnoteRef/>
      </w:r>
      <w:r>
        <w:t xml:space="preserve"> UNESCO, http://whc.unesco.org/fr/etatsparties/dz</w:t>
      </w:r>
    </w:p>
  </w:footnote>
  <w:footnote w:id="11">
    <w:p w:rsidR="008607BD" w:rsidRDefault="008607BD">
      <w:pPr>
        <w:pStyle w:val="Notedebasdepage"/>
      </w:pPr>
      <w:r>
        <w:rPr>
          <w:rStyle w:val="Appelnotedebasdep"/>
        </w:rPr>
        <w:footnoteRef/>
      </w:r>
      <w:r>
        <w:t xml:space="preserve"> Présidence de la république algérienne démocratique, </w:t>
      </w:r>
      <w:r w:rsidRPr="00382AAB">
        <w:t>par la loi n° 98 - 04 du 20 Safar 1419 correspondant au 15 juin 1998 relative à la protection du patrimoine culturel</w:t>
      </w:r>
      <w:r>
        <w:t xml:space="preserve">, in </w:t>
      </w:r>
      <w:r w:rsidRPr="00382AAB">
        <w:rPr>
          <w:i/>
          <w:iCs/>
        </w:rPr>
        <w:t>Journal officie</w:t>
      </w:r>
      <w:r w:rsidRPr="00382AAB">
        <w:t xml:space="preserve">, </w:t>
      </w:r>
      <w:r>
        <w:t>n° 44, p.3</w:t>
      </w:r>
    </w:p>
  </w:footnote>
  <w:footnote w:id="12">
    <w:p w:rsidR="00DE2A60" w:rsidRDefault="00DE2A60">
      <w:pPr>
        <w:pStyle w:val="Notedebasdepage"/>
      </w:pPr>
      <w:r>
        <w:rPr>
          <w:rStyle w:val="Appelnotedebasdep"/>
        </w:rPr>
        <w:footnoteRef/>
      </w:r>
      <w:r>
        <w:t xml:space="preserve"> </w:t>
      </w:r>
      <w:r w:rsidRPr="00DE2A60">
        <w:t>https://ich.unesco.org/fr/17com</w:t>
      </w:r>
    </w:p>
  </w:footnote>
  <w:footnote w:id="13">
    <w:p w:rsidR="00913ECB" w:rsidRDefault="00913ECB" w:rsidP="00913ECB">
      <w:pPr>
        <w:pStyle w:val="Notedebasdepage"/>
      </w:pPr>
      <w:r>
        <w:rPr>
          <w:rStyle w:val="Appelnotedebasdep"/>
        </w:rPr>
        <w:footnoteRef/>
      </w:r>
      <w:r>
        <w:t xml:space="preserve"> </w:t>
      </w:r>
      <w:hyperlink r:id="rId4" w:history="1">
        <w:r w:rsidRPr="001D3349">
          <w:rPr>
            <w:rStyle w:val="Lienhypertexte"/>
          </w:rPr>
          <w:t>https://ich.unesco.org/fr/RL/lahellil-du-gourara-00121</w:t>
        </w:r>
      </w:hyperlink>
    </w:p>
    <w:p w:rsidR="00913ECB" w:rsidRDefault="00913ECB" w:rsidP="00913ECB">
      <w:pPr>
        <w:pStyle w:val="Notedebasdepage"/>
      </w:pPr>
    </w:p>
  </w:footnote>
  <w:footnote w:id="14">
    <w:p w:rsidR="00913ECB" w:rsidRDefault="00913ECB" w:rsidP="00913ECB">
      <w:pPr>
        <w:pStyle w:val="Notedebasdepage"/>
      </w:pPr>
      <w:r>
        <w:rPr>
          <w:rStyle w:val="Appelnotedebasdep"/>
        </w:rPr>
        <w:footnoteRef/>
      </w:r>
      <w:r>
        <w:t xml:space="preserve"> </w:t>
      </w:r>
      <w:hyperlink r:id="rId5" w:history="1">
        <w:r w:rsidRPr="001D3349">
          <w:rPr>
            <w:rStyle w:val="Lienhypertexte"/>
          </w:rPr>
          <w:t>https://ich.unesco.org/fr/RL/les-rites-et-les-savoir-faire-artisanaux-associs-la-tradition-du-costume-nuptial-de-tlemcen-00668</w:t>
        </w:r>
      </w:hyperlink>
    </w:p>
    <w:p w:rsidR="00913ECB" w:rsidRDefault="00913ECB" w:rsidP="00913ECB">
      <w:pPr>
        <w:pStyle w:val="Notedebasdepage"/>
      </w:pPr>
    </w:p>
  </w:footnote>
  <w:footnote w:id="15">
    <w:p w:rsidR="00913ECB" w:rsidRDefault="00913ECB" w:rsidP="00913ECB">
      <w:pPr>
        <w:pStyle w:val="Notedebasdepage"/>
      </w:pPr>
      <w:r>
        <w:rPr>
          <w:rStyle w:val="Appelnotedebasdep"/>
        </w:rPr>
        <w:footnoteRef/>
      </w:r>
      <w:r>
        <w:t xml:space="preserve"> </w:t>
      </w:r>
      <w:r w:rsidRPr="00A729D6">
        <w:t>https://ich.unesco.org/fr/RL/le-plerinage-annuel-au-mausole-de-sidi-abd-el-qader-ben-mohammed-dit-sidi-cheikh-00660</w:t>
      </w:r>
    </w:p>
  </w:footnote>
  <w:footnote w:id="16">
    <w:p w:rsidR="00913ECB" w:rsidRDefault="00913ECB" w:rsidP="00913ECB">
      <w:pPr>
        <w:pStyle w:val="Notedebasdepage"/>
      </w:pPr>
      <w:r>
        <w:rPr>
          <w:rStyle w:val="Appelnotedebasdep"/>
        </w:rPr>
        <w:footnoteRef/>
      </w:r>
      <w:r>
        <w:t xml:space="preserve"> </w:t>
      </w:r>
      <w:r w:rsidRPr="00A729D6">
        <w:t>https://ich.unesco.org/fr/RL/les-pratiques-et-savoirs-lis-limzad-des-communauts-touargues-de-lalgrie-du-mali-et-du-niger-00891</w:t>
      </w:r>
    </w:p>
  </w:footnote>
  <w:footnote w:id="17">
    <w:p w:rsidR="00913ECB" w:rsidRDefault="00913ECB" w:rsidP="00913ECB">
      <w:pPr>
        <w:pStyle w:val="Notedebasdepage"/>
      </w:pPr>
      <w:r>
        <w:rPr>
          <w:rStyle w:val="Appelnotedebasdep"/>
        </w:rPr>
        <w:footnoteRef/>
      </w:r>
      <w:r>
        <w:t xml:space="preserve"> </w:t>
      </w:r>
      <w:r w:rsidRPr="00A729D6">
        <w:t>https://ich.unesco.org/fr/RL/le-rituel-et-les-crmonies-de-la-sebeba-dans-l-oasis-de-djanet-algrie-00665</w:t>
      </w:r>
    </w:p>
  </w:footnote>
  <w:footnote w:id="18">
    <w:p w:rsidR="00913ECB" w:rsidRDefault="00913ECB" w:rsidP="00913ECB">
      <w:pPr>
        <w:pStyle w:val="Notedebasdepage"/>
      </w:pPr>
      <w:r>
        <w:rPr>
          <w:rStyle w:val="Appelnotedebasdep"/>
        </w:rPr>
        <w:footnoteRef/>
      </w:r>
      <w:r>
        <w:t xml:space="preserve"> </w:t>
      </w:r>
      <w:r w:rsidRPr="00A729D6">
        <w:t>https://ich.unesco.org/fr/RL/le-sbu-plerinage-annuel-la-zawiya-sidi-el-hadj-belkacem-gourara-00667</w:t>
      </w:r>
    </w:p>
  </w:footnote>
  <w:footnote w:id="19">
    <w:p w:rsidR="00913ECB" w:rsidRDefault="00913ECB" w:rsidP="00913ECB">
      <w:pPr>
        <w:pStyle w:val="Notedebasdepage"/>
      </w:pPr>
      <w:r>
        <w:rPr>
          <w:rStyle w:val="Appelnotedebasdep"/>
        </w:rPr>
        <w:footnoteRef/>
      </w:r>
      <w:r>
        <w:t xml:space="preserve"> </w:t>
      </w:r>
      <w:r w:rsidRPr="00A729D6">
        <w:t>https://ich.unesco.org/fr/USL/les-savoirs-et-savoir-faire-des-mesureurs-deau-des-foggaras-ou-aiguadiers-du-touat-tidikelt-01274</w:t>
      </w:r>
    </w:p>
  </w:footnote>
  <w:footnote w:id="20">
    <w:p w:rsidR="00913ECB" w:rsidRDefault="00913ECB" w:rsidP="00913ECB">
      <w:pPr>
        <w:pStyle w:val="Notedebasdepage"/>
      </w:pPr>
      <w:r>
        <w:rPr>
          <w:rStyle w:val="Appelnotedebasdep"/>
        </w:rPr>
        <w:footnoteRef/>
      </w:r>
      <w:r>
        <w:t xml:space="preserve"> </w:t>
      </w:r>
      <w:r w:rsidRPr="00A729D6">
        <w:t>https://ich.unesco.org/fr/RL/les-savoirs-savoir-faire-et-pratiques-lis-la-production-et-la-consommation-du-couscous-01602</w:t>
      </w:r>
    </w:p>
  </w:footnote>
  <w:footnote w:id="21">
    <w:p w:rsidR="00913ECB" w:rsidRDefault="00913ECB" w:rsidP="00913ECB">
      <w:pPr>
        <w:pStyle w:val="Notedebasdepage"/>
      </w:pPr>
      <w:r>
        <w:rPr>
          <w:rStyle w:val="Appelnotedebasdep"/>
        </w:rPr>
        <w:footnoteRef/>
      </w:r>
      <w:r>
        <w:t xml:space="preserve"> </w:t>
      </w:r>
      <w:r w:rsidRPr="00F659A2">
        <w:t>https://ich.unesco.org/fr/RL/la-calligraphie-arabe-connaissances-comptences-et-pratiques-01718</w:t>
      </w:r>
    </w:p>
  </w:footnote>
  <w:footnote w:id="22">
    <w:p w:rsidR="00913ECB" w:rsidRDefault="00913ECB" w:rsidP="00913ECB">
      <w:pPr>
        <w:pStyle w:val="Notedebasdepage"/>
      </w:pPr>
      <w:r>
        <w:rPr>
          <w:rStyle w:val="Appelnotedebasdep"/>
        </w:rPr>
        <w:footnoteRef/>
      </w:r>
      <w:r>
        <w:t xml:space="preserve"> </w:t>
      </w:r>
      <w:r w:rsidRPr="00006E98">
        <w:t>https://ich.unesco.org/fr/RL/le-ra-chant-populaire-d-algrie-01894</w:t>
      </w:r>
    </w:p>
  </w:footnote>
  <w:footnote w:id="23">
    <w:p w:rsidR="002A33CF" w:rsidRDefault="002A33CF" w:rsidP="002A33CF">
      <w:pPr>
        <w:pStyle w:val="Notedebasdepage"/>
      </w:pPr>
      <w:r>
        <w:rPr>
          <w:rStyle w:val="Appelnotedebasdep"/>
        </w:rPr>
        <w:footnoteRef/>
      </w:r>
      <w:r>
        <w:t xml:space="preserve"> </w:t>
      </w:r>
      <w:r w:rsidRPr="00691B71">
        <w:t>https://whc.unesco.org/en/list/102</w:t>
      </w:r>
    </w:p>
  </w:footnote>
  <w:footnote w:id="24">
    <w:p w:rsidR="002A33CF" w:rsidRDefault="002A33CF" w:rsidP="002A33CF">
      <w:pPr>
        <w:pStyle w:val="Notedebasdepage"/>
      </w:pPr>
      <w:r>
        <w:rPr>
          <w:rStyle w:val="Appelnotedebasdep"/>
        </w:rPr>
        <w:footnoteRef/>
      </w:r>
      <w:r>
        <w:t xml:space="preserve"> </w:t>
      </w:r>
      <w:r w:rsidRPr="00691B71">
        <w:t>https://whc.unesco.org/en/list/191</w:t>
      </w:r>
    </w:p>
  </w:footnote>
  <w:footnote w:id="25">
    <w:p w:rsidR="002A33CF" w:rsidRDefault="002A33CF" w:rsidP="002A33CF">
      <w:pPr>
        <w:pStyle w:val="Notedebasdepage"/>
      </w:pPr>
      <w:r>
        <w:rPr>
          <w:rStyle w:val="Appelnotedebasdep"/>
        </w:rPr>
        <w:footnoteRef/>
      </w:r>
      <w:r>
        <w:t xml:space="preserve"> </w:t>
      </w:r>
      <w:r w:rsidRPr="00691B71">
        <w:t>https://whc.unesco.org/en/list/565</w:t>
      </w:r>
    </w:p>
  </w:footnote>
  <w:footnote w:id="26">
    <w:p w:rsidR="002A33CF" w:rsidRDefault="002A33CF" w:rsidP="002A33CF">
      <w:pPr>
        <w:pStyle w:val="Notedebasdepage"/>
      </w:pPr>
      <w:r>
        <w:rPr>
          <w:rStyle w:val="Appelnotedebasdep"/>
        </w:rPr>
        <w:footnoteRef/>
      </w:r>
      <w:r>
        <w:t xml:space="preserve"> </w:t>
      </w:r>
      <w:r w:rsidRPr="00691B71">
        <w:t>https://whc.unesco.org/en/list/188</w:t>
      </w:r>
    </w:p>
  </w:footnote>
  <w:footnote w:id="27">
    <w:p w:rsidR="002A33CF" w:rsidRDefault="002A33CF" w:rsidP="002A33CF">
      <w:pPr>
        <w:pStyle w:val="Notedebasdepage"/>
      </w:pPr>
      <w:r>
        <w:rPr>
          <w:rStyle w:val="Appelnotedebasdep"/>
        </w:rPr>
        <w:footnoteRef/>
      </w:r>
      <w:r>
        <w:t xml:space="preserve"> </w:t>
      </w:r>
      <w:r w:rsidRPr="00F41DE5">
        <w:t>https://whc.unesco.org/en/list/194</w:t>
      </w:r>
    </w:p>
  </w:footnote>
  <w:footnote w:id="28">
    <w:p w:rsidR="002A33CF" w:rsidRDefault="002A33CF" w:rsidP="002A33CF">
      <w:pPr>
        <w:pStyle w:val="Notedebasdepage"/>
      </w:pPr>
      <w:r>
        <w:rPr>
          <w:rStyle w:val="Appelnotedebasdep"/>
        </w:rPr>
        <w:footnoteRef/>
      </w:r>
      <w:r>
        <w:t xml:space="preserve"> </w:t>
      </w:r>
      <w:r w:rsidRPr="00F41DE5">
        <w:t>https://whc.unesco.org/en/list/193</w:t>
      </w:r>
    </w:p>
  </w:footnote>
  <w:footnote w:id="29">
    <w:p w:rsidR="002A33CF" w:rsidRDefault="002A33CF" w:rsidP="002A33CF">
      <w:pPr>
        <w:pStyle w:val="Notedebasdepage"/>
      </w:pPr>
      <w:r>
        <w:rPr>
          <w:rStyle w:val="Appelnotedebasdep"/>
        </w:rPr>
        <w:footnoteRef/>
      </w:r>
      <w:r>
        <w:t xml:space="preserve"> </w:t>
      </w:r>
      <w:r w:rsidRPr="00F41DE5">
        <w:t>https://whc.unesco.org/en/list/179/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BD" w:rsidRPr="000B6274" w:rsidRDefault="008607BD" w:rsidP="0068640C">
    <w:pPr>
      <w:pStyle w:val="En-tte"/>
      <w:rPr>
        <w:rFonts w:asciiTheme="majorBidi" w:hAnsiTheme="majorBidi" w:cstheme="majorBidi"/>
        <w:sz w:val="20"/>
        <w:szCs w:val="20"/>
      </w:rPr>
    </w:pPr>
    <w:r w:rsidRPr="000B6274">
      <w:rPr>
        <w:rFonts w:asciiTheme="majorBidi" w:hAnsiTheme="majorBidi" w:cstheme="majorBidi"/>
        <w:sz w:val="20"/>
        <w:szCs w:val="20"/>
      </w:rPr>
      <w:t>M2, SC</w:t>
    </w:r>
    <w:r>
      <w:rPr>
        <w:rFonts w:asciiTheme="majorBidi" w:hAnsiTheme="majorBidi" w:cstheme="majorBidi"/>
        <w:sz w:val="20"/>
        <w:szCs w:val="20"/>
      </w:rPr>
      <w:t xml:space="preserve"> : </w:t>
    </w:r>
    <w:r w:rsidRPr="000B6274">
      <w:rPr>
        <w:rFonts w:asciiTheme="majorBidi" w:hAnsiTheme="majorBidi" w:cstheme="majorBidi"/>
        <w:sz w:val="20"/>
        <w:szCs w:val="20"/>
      </w:rPr>
      <w:t xml:space="preserve">Sociologie de la communication traditionnelle en Algérie </w:t>
    </w:r>
    <w:r>
      <w:rPr>
        <w:rFonts w:asciiTheme="majorBidi" w:hAnsiTheme="majorBidi" w:cstheme="majorBidi"/>
        <w:sz w:val="20"/>
        <w:szCs w:val="20"/>
      </w:rPr>
      <w:t xml:space="preserve">        </w:t>
    </w:r>
    <w:r w:rsidRPr="000B6274">
      <w:rPr>
        <w:rFonts w:asciiTheme="majorBidi" w:hAnsiTheme="majorBidi" w:cstheme="majorBidi"/>
        <w:sz w:val="20"/>
        <w:szCs w:val="20"/>
      </w:rPr>
      <w:t>Chargée de la matière : Dr. DALI Kenza</w:t>
    </w:r>
  </w:p>
  <w:p w:rsidR="008607BD" w:rsidRDefault="008607BD" w:rsidP="0068640C">
    <w:pPr>
      <w:pStyle w:val="En-tte"/>
    </w:pPr>
  </w:p>
  <w:p w:rsidR="008607BD" w:rsidRDefault="008607B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1501B"/>
    <w:multiLevelType w:val="multilevel"/>
    <w:tmpl w:val="0F9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numRestart w:val="eachPage"/>
    <w:footnote w:id="0"/>
    <w:footnote w:id="1"/>
  </w:footnotePr>
  <w:endnotePr>
    <w:numFmt w:val="decimal"/>
    <w:endnote w:id="0"/>
    <w:endnote w:id="1"/>
  </w:endnotePr>
  <w:compat>
    <w:useFELayout/>
  </w:compat>
  <w:rsids>
    <w:rsidRoot w:val="00E0222C"/>
    <w:rsid w:val="0005357F"/>
    <w:rsid w:val="00061A45"/>
    <w:rsid w:val="000A2B4E"/>
    <w:rsid w:val="000F35D0"/>
    <w:rsid w:val="00107113"/>
    <w:rsid w:val="00141342"/>
    <w:rsid w:val="00195AC9"/>
    <w:rsid w:val="001C224E"/>
    <w:rsid w:val="001C6216"/>
    <w:rsid w:val="001F1F16"/>
    <w:rsid w:val="00233234"/>
    <w:rsid w:val="00272972"/>
    <w:rsid w:val="002A33CF"/>
    <w:rsid w:val="002D2CC3"/>
    <w:rsid w:val="002E63A6"/>
    <w:rsid w:val="00365BC4"/>
    <w:rsid w:val="00382AAB"/>
    <w:rsid w:val="003C1E38"/>
    <w:rsid w:val="003E301C"/>
    <w:rsid w:val="00452B8C"/>
    <w:rsid w:val="00484493"/>
    <w:rsid w:val="005379A0"/>
    <w:rsid w:val="00541A57"/>
    <w:rsid w:val="00545E3E"/>
    <w:rsid w:val="00572CE5"/>
    <w:rsid w:val="005A5867"/>
    <w:rsid w:val="005E3019"/>
    <w:rsid w:val="006120A4"/>
    <w:rsid w:val="00665449"/>
    <w:rsid w:val="0068640C"/>
    <w:rsid w:val="007448ED"/>
    <w:rsid w:val="00746EEE"/>
    <w:rsid w:val="00774195"/>
    <w:rsid w:val="00803E31"/>
    <w:rsid w:val="0083059B"/>
    <w:rsid w:val="008607BD"/>
    <w:rsid w:val="0089450B"/>
    <w:rsid w:val="008B4FBD"/>
    <w:rsid w:val="008D6D45"/>
    <w:rsid w:val="00913ECB"/>
    <w:rsid w:val="009619AC"/>
    <w:rsid w:val="009E50B8"/>
    <w:rsid w:val="00A3047B"/>
    <w:rsid w:val="00A80819"/>
    <w:rsid w:val="00A9306C"/>
    <w:rsid w:val="00AE1B38"/>
    <w:rsid w:val="00B227AC"/>
    <w:rsid w:val="00B54C9C"/>
    <w:rsid w:val="00D45E3B"/>
    <w:rsid w:val="00D51075"/>
    <w:rsid w:val="00D52576"/>
    <w:rsid w:val="00DC473D"/>
    <w:rsid w:val="00DE2A60"/>
    <w:rsid w:val="00E0222C"/>
    <w:rsid w:val="00E56EF7"/>
    <w:rsid w:val="00EC3CBE"/>
    <w:rsid w:val="00F13664"/>
    <w:rsid w:val="00F30510"/>
    <w:rsid w:val="00F76142"/>
    <w:rsid w:val="00F837EF"/>
    <w:rsid w:val="00F84D28"/>
    <w:rsid w:val="00FB25A1"/>
    <w:rsid w:val="00FC1676"/>
    <w:rsid w:val="00FC50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EF"/>
  </w:style>
  <w:style w:type="paragraph" w:styleId="Titre1">
    <w:name w:val="heading 1"/>
    <w:basedOn w:val="Normal"/>
    <w:link w:val="Titre1Car"/>
    <w:uiPriority w:val="9"/>
    <w:qFormat/>
    <w:rsid w:val="002A33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5">
    <w:name w:val="heading 5"/>
    <w:basedOn w:val="Normal"/>
    <w:next w:val="Normal"/>
    <w:link w:val="Titre5Car"/>
    <w:uiPriority w:val="9"/>
    <w:unhideWhenUsed/>
    <w:qFormat/>
    <w:rsid w:val="002A33CF"/>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semiHidden/>
    <w:unhideWhenUsed/>
    <w:qFormat/>
    <w:rsid w:val="002A33CF"/>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222C"/>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E0222C"/>
    <w:rPr>
      <w:rFonts w:eastAsiaTheme="minorHAnsi"/>
      <w:sz w:val="20"/>
      <w:szCs w:val="20"/>
      <w:lang w:eastAsia="en-US"/>
    </w:rPr>
  </w:style>
  <w:style w:type="character" w:styleId="Appelnotedebasdep">
    <w:name w:val="footnote reference"/>
    <w:basedOn w:val="Policepardfaut"/>
    <w:uiPriority w:val="99"/>
    <w:semiHidden/>
    <w:unhideWhenUsed/>
    <w:rsid w:val="00E0222C"/>
    <w:rPr>
      <w:vertAlign w:val="superscript"/>
    </w:rPr>
  </w:style>
  <w:style w:type="paragraph" w:styleId="Pieddepage">
    <w:name w:val="footer"/>
    <w:basedOn w:val="Normal"/>
    <w:link w:val="PieddepageCar"/>
    <w:uiPriority w:val="99"/>
    <w:unhideWhenUsed/>
    <w:rsid w:val="00E0222C"/>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E0222C"/>
    <w:rPr>
      <w:rFonts w:eastAsiaTheme="minorHAnsi"/>
      <w:lang w:eastAsia="en-US"/>
    </w:rPr>
  </w:style>
  <w:style w:type="character" w:styleId="Lienhypertexte">
    <w:name w:val="Hyperlink"/>
    <w:basedOn w:val="Policepardfaut"/>
    <w:uiPriority w:val="99"/>
    <w:unhideWhenUsed/>
    <w:rsid w:val="00E0222C"/>
    <w:rPr>
      <w:color w:val="0000FF"/>
      <w:u w:val="single"/>
    </w:rPr>
  </w:style>
  <w:style w:type="paragraph" w:customStyle="1" w:styleId="wiki-text">
    <w:name w:val="wiki-text"/>
    <w:basedOn w:val="Normal"/>
    <w:rsid w:val="00E0222C"/>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022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22C"/>
    <w:rPr>
      <w:rFonts w:ascii="Tahoma" w:hAnsi="Tahoma" w:cs="Tahoma"/>
      <w:sz w:val="16"/>
      <w:szCs w:val="16"/>
    </w:rPr>
  </w:style>
  <w:style w:type="paragraph" w:styleId="En-tte">
    <w:name w:val="header"/>
    <w:basedOn w:val="Normal"/>
    <w:link w:val="En-tteCar"/>
    <w:uiPriority w:val="99"/>
    <w:unhideWhenUsed/>
    <w:rsid w:val="0068640C"/>
    <w:pPr>
      <w:tabs>
        <w:tab w:val="center" w:pos="4536"/>
        <w:tab w:val="right" w:pos="9072"/>
      </w:tabs>
      <w:spacing w:after="0" w:line="240" w:lineRule="auto"/>
    </w:pPr>
  </w:style>
  <w:style w:type="character" w:customStyle="1" w:styleId="En-tteCar">
    <w:name w:val="En-tête Car"/>
    <w:basedOn w:val="Policepardfaut"/>
    <w:link w:val="En-tte"/>
    <w:uiPriority w:val="99"/>
    <w:rsid w:val="0068640C"/>
  </w:style>
  <w:style w:type="paragraph" w:styleId="Notedefin">
    <w:name w:val="endnote text"/>
    <w:basedOn w:val="Normal"/>
    <w:link w:val="NotedefinCar"/>
    <w:uiPriority w:val="99"/>
    <w:semiHidden/>
    <w:unhideWhenUsed/>
    <w:rsid w:val="00FC1676"/>
    <w:pPr>
      <w:spacing w:after="0" w:line="240" w:lineRule="auto"/>
    </w:pPr>
    <w:rPr>
      <w:sz w:val="20"/>
      <w:szCs w:val="20"/>
    </w:rPr>
  </w:style>
  <w:style w:type="character" w:customStyle="1" w:styleId="NotedefinCar">
    <w:name w:val="Note de fin Car"/>
    <w:basedOn w:val="Policepardfaut"/>
    <w:link w:val="Notedefin"/>
    <w:uiPriority w:val="99"/>
    <w:semiHidden/>
    <w:rsid w:val="00FC1676"/>
    <w:rPr>
      <w:sz w:val="20"/>
      <w:szCs w:val="20"/>
    </w:rPr>
  </w:style>
  <w:style w:type="character" w:styleId="Appeldenotedefin">
    <w:name w:val="endnote reference"/>
    <w:basedOn w:val="Policepardfaut"/>
    <w:uiPriority w:val="99"/>
    <w:semiHidden/>
    <w:unhideWhenUsed/>
    <w:rsid w:val="00FC1676"/>
    <w:rPr>
      <w:vertAlign w:val="superscript"/>
    </w:rPr>
  </w:style>
  <w:style w:type="character" w:customStyle="1" w:styleId="Titre1Car">
    <w:name w:val="Titre 1 Car"/>
    <w:basedOn w:val="Policepardfaut"/>
    <w:link w:val="Titre1"/>
    <w:uiPriority w:val="9"/>
    <w:rsid w:val="002A33CF"/>
    <w:rPr>
      <w:rFonts w:ascii="Times New Roman" w:eastAsia="Times New Roman" w:hAnsi="Times New Roman" w:cs="Times New Roman"/>
      <w:b/>
      <w:bCs/>
      <w:kern w:val="36"/>
      <w:sz w:val="48"/>
      <w:szCs w:val="48"/>
    </w:rPr>
  </w:style>
  <w:style w:type="character" w:customStyle="1" w:styleId="Titre6Car">
    <w:name w:val="Titre 6 Car"/>
    <w:basedOn w:val="Policepardfaut"/>
    <w:link w:val="Titre6"/>
    <w:uiPriority w:val="9"/>
    <w:semiHidden/>
    <w:rsid w:val="002A33CF"/>
    <w:rPr>
      <w:rFonts w:asciiTheme="majorHAnsi" w:eastAsiaTheme="majorEastAsia" w:hAnsiTheme="majorHAnsi" w:cstheme="majorBidi"/>
      <w:i/>
      <w:iCs/>
      <w:color w:val="243F60" w:themeColor="accent1" w:themeShade="7F"/>
      <w:lang w:eastAsia="en-US"/>
    </w:rPr>
  </w:style>
  <w:style w:type="character" w:styleId="Accentuation">
    <w:name w:val="Emphasis"/>
    <w:basedOn w:val="Policepardfaut"/>
    <w:uiPriority w:val="20"/>
    <w:qFormat/>
    <w:rsid w:val="002A33CF"/>
    <w:rPr>
      <w:i/>
      <w:iCs/>
    </w:rPr>
  </w:style>
  <w:style w:type="paragraph" w:styleId="NormalWeb">
    <w:name w:val="Normal (Web)"/>
    <w:basedOn w:val="Normal"/>
    <w:uiPriority w:val="99"/>
    <w:unhideWhenUsed/>
    <w:rsid w:val="002A33C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A33CF"/>
    <w:rPr>
      <w:b/>
      <w:bCs/>
    </w:rPr>
  </w:style>
  <w:style w:type="character" w:customStyle="1" w:styleId="Titre5Car">
    <w:name w:val="Titre 5 Car"/>
    <w:basedOn w:val="Policepardfaut"/>
    <w:link w:val="Titre5"/>
    <w:uiPriority w:val="9"/>
    <w:rsid w:val="002A33CF"/>
    <w:rPr>
      <w:rFonts w:asciiTheme="majorHAnsi" w:eastAsiaTheme="majorEastAsia" w:hAnsiTheme="majorHAnsi" w:cstheme="majorBidi"/>
      <w:color w:val="243F60" w:themeColor="accent1" w:themeShade="7F"/>
      <w:lang w:eastAsia="en-US"/>
    </w:rPr>
  </w:style>
</w:styles>
</file>

<file path=word/webSettings.xml><?xml version="1.0" encoding="utf-8"?>
<w:webSettings xmlns:r="http://schemas.openxmlformats.org/officeDocument/2006/relationships" xmlns:w="http://schemas.openxmlformats.org/wordprocessingml/2006/main">
  <w:divs>
    <w:div w:id="1286158679">
      <w:bodyDiv w:val="1"/>
      <w:marLeft w:val="0"/>
      <w:marRight w:val="0"/>
      <w:marTop w:val="0"/>
      <w:marBottom w:val="0"/>
      <w:divBdr>
        <w:top w:val="none" w:sz="0" w:space="0" w:color="auto"/>
        <w:left w:val="none" w:sz="0" w:space="0" w:color="auto"/>
        <w:bottom w:val="none" w:sz="0" w:space="0" w:color="auto"/>
        <w:right w:val="none" w:sz="0" w:space="0" w:color="auto"/>
      </w:divBdr>
      <w:divsChild>
        <w:div w:id="1116872850">
          <w:marLeft w:val="0"/>
          <w:marRight w:val="0"/>
          <w:marTop w:val="0"/>
          <w:marBottom w:val="0"/>
          <w:divBdr>
            <w:top w:val="none" w:sz="0" w:space="0" w:color="auto"/>
            <w:left w:val="none" w:sz="0" w:space="0" w:color="auto"/>
            <w:bottom w:val="none" w:sz="0" w:space="0" w:color="auto"/>
            <w:right w:val="none" w:sz="0" w:space="0" w:color="auto"/>
          </w:divBdr>
          <w:divsChild>
            <w:div w:id="474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etat/tunisie-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etat/maroc-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fr/etat/mauritanie-MR" TargetMode="External"/><Relationship Id="rId4" Type="http://schemas.openxmlformats.org/officeDocument/2006/relationships/settings" Target="settings.xml"/><Relationship Id="rId9" Type="http://schemas.openxmlformats.org/officeDocument/2006/relationships/hyperlink" Target="https://ich.unesco.org/fr/etat/algrie-D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qu-est-ce-que-le-patrimoine-culturel-immateriel-00003" TargetMode="External"/><Relationship Id="rId2" Type="http://schemas.openxmlformats.org/officeDocument/2006/relationships/hyperlink" Target="https://ich.unesco.org/fr/convention" TargetMode="External"/><Relationship Id="rId1" Type="http://schemas.openxmlformats.org/officeDocument/2006/relationships/hyperlink" Target="http://www.unesco.org/new/fr/culture/themes/illicit-trafficking-of-cultural-property/unesco-database-of-national-cultural-heritage-laws/frequently-asked-questions/definition-of-the-cultural-heritage/" TargetMode="External"/><Relationship Id="rId5" Type="http://schemas.openxmlformats.org/officeDocument/2006/relationships/hyperlink" Target="https://ich.unesco.org/fr/RL/les-rites-et-les-savoir-faire-artisanaux-associs-la-tradition-du-costume-nuptial-de-tlemcen-00668" TargetMode="External"/><Relationship Id="rId4" Type="http://schemas.openxmlformats.org/officeDocument/2006/relationships/hyperlink" Target="https://ich.unesco.org/fr/RL/lahellil-du-gourara-001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AB41-DD15-4520-9A98-C176EF26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16</Pages>
  <Words>5962</Words>
  <Characters>32794</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36</cp:revision>
  <dcterms:created xsi:type="dcterms:W3CDTF">2021-01-05T20:26:00Z</dcterms:created>
  <dcterms:modified xsi:type="dcterms:W3CDTF">2023-12-05T02:43:00Z</dcterms:modified>
</cp:coreProperties>
</file>