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B28" w:rsidRPr="0021194E" w:rsidRDefault="00BB7B28" w:rsidP="002C0D4D">
      <w:pPr>
        <w:bidi/>
        <w:spacing w:line="276" w:lineRule="auto"/>
        <w:jc w:val="both"/>
        <w:rPr>
          <w:b/>
          <w:bCs/>
          <w:sz w:val="28"/>
          <w:szCs w:val="28"/>
          <w:rtl/>
        </w:rPr>
      </w:pPr>
      <w:bookmarkStart w:id="0" w:name="_GoBack"/>
      <w:bookmarkEnd w:id="0"/>
    </w:p>
    <w:p w:rsidR="00BB7B28" w:rsidRDefault="0021194E" w:rsidP="002C0D4D">
      <w:pPr>
        <w:bidi/>
        <w:spacing w:line="276" w:lineRule="auto"/>
        <w:jc w:val="both"/>
        <w:rPr>
          <w:b/>
          <w:bCs/>
          <w:sz w:val="28"/>
          <w:szCs w:val="28"/>
          <w:rtl/>
        </w:rPr>
      </w:pPr>
      <w:r>
        <w:rPr>
          <w:rFonts w:hint="cs"/>
          <w:b/>
          <w:bCs/>
          <w:sz w:val="28"/>
          <w:szCs w:val="28"/>
          <w:rtl/>
        </w:rPr>
        <w:t>تمهيد:</w:t>
      </w:r>
    </w:p>
    <w:p w:rsidR="006A6B53" w:rsidRPr="0021194E" w:rsidRDefault="006A6B53" w:rsidP="006A6B53">
      <w:pPr>
        <w:bidi/>
        <w:spacing w:line="276" w:lineRule="auto"/>
        <w:jc w:val="both"/>
        <w:rPr>
          <w:b/>
          <w:bCs/>
          <w:sz w:val="28"/>
          <w:szCs w:val="28"/>
        </w:rPr>
      </w:pPr>
    </w:p>
    <w:p w:rsidR="00BB7B28" w:rsidRPr="0021194E" w:rsidRDefault="00BB7B28" w:rsidP="002C0D4D">
      <w:pPr>
        <w:bidi/>
        <w:spacing w:line="276" w:lineRule="auto"/>
        <w:jc w:val="both"/>
        <w:rPr>
          <w:sz w:val="28"/>
          <w:szCs w:val="28"/>
        </w:rPr>
      </w:pPr>
    </w:p>
    <w:p w:rsidR="006A6B53" w:rsidRDefault="0021194E" w:rsidP="006A6B53">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6A6B53">
        <w:rPr>
          <w:rFonts w:ascii="Simplified Arabic" w:hAnsi="Simplified Arabic" w:cs="Simplified Arabic" w:hint="cs"/>
          <w:sz w:val="28"/>
          <w:szCs w:val="28"/>
          <w:rtl/>
        </w:rPr>
        <w:t xml:space="preserve">ورد في معجم المصطلحات الأدبية عن التراث: </w:t>
      </w:r>
      <w:r w:rsidR="006A6B53">
        <w:rPr>
          <w:rFonts w:ascii="Simplified Arabic" w:hAnsi="Simplified Arabic" w:cs="Simplified Arabic"/>
          <w:sz w:val="28"/>
          <w:szCs w:val="28"/>
          <w:rtl/>
        </w:rPr>
        <w:t>«</w:t>
      </w:r>
      <w:r w:rsidR="006A6B53">
        <w:rPr>
          <w:rFonts w:ascii="Simplified Arabic" w:hAnsi="Simplified Arabic" w:cs="Simplified Arabic" w:hint="cs"/>
          <w:sz w:val="28"/>
          <w:szCs w:val="28"/>
          <w:rtl/>
        </w:rPr>
        <w:t>ما يتوارثه شعب من الشعوب جيلا بعد جيل من آداب وعلوم وفنون وعادات وتقاليد وخبرات، فيصبح كل ذلك عبر الأزمان جزءا من الاحساس الوطني والاعتزاز القوي لدى أفراد ذلك الشعب</w:t>
      </w:r>
      <w:r w:rsidR="006A6B53">
        <w:rPr>
          <w:rFonts w:ascii="Simplified Arabic" w:hAnsi="Simplified Arabic" w:cs="Simplified Arabic"/>
          <w:sz w:val="28"/>
          <w:szCs w:val="28"/>
          <w:rtl/>
        </w:rPr>
        <w:t>»</w:t>
      </w:r>
      <w:r w:rsidR="006A6B53">
        <w:rPr>
          <w:rStyle w:val="FootnoteReference"/>
          <w:rFonts w:ascii="Simplified Arabic" w:hAnsi="Simplified Arabic" w:cs="Simplified Arabic"/>
          <w:sz w:val="28"/>
          <w:szCs w:val="28"/>
          <w:rtl/>
        </w:rPr>
        <w:footnoteReference w:id="1"/>
      </w:r>
      <w:r w:rsidR="006A6B53">
        <w:rPr>
          <w:rFonts w:ascii="Simplified Arabic" w:hAnsi="Simplified Arabic" w:cs="Simplified Arabic" w:hint="cs"/>
          <w:sz w:val="28"/>
          <w:szCs w:val="28"/>
          <w:rtl/>
        </w:rPr>
        <w:t xml:space="preserve">، </w:t>
      </w:r>
      <w:r w:rsidR="00293775">
        <w:rPr>
          <w:rFonts w:ascii="Simplified Arabic" w:hAnsi="Simplified Arabic" w:cs="Simplified Arabic" w:hint="cs"/>
          <w:sz w:val="28"/>
          <w:szCs w:val="28"/>
          <w:rtl/>
        </w:rPr>
        <w:t xml:space="preserve">أما التعريف اللغوي للتراث فيجعله في ما خلفه الرجل لورثته من مال وحسب مما يقتضي موته، وبناء عليه حدد بعض النقاد التراث تحديدا زمنيا </w:t>
      </w:r>
      <w:r w:rsidR="00293775">
        <w:rPr>
          <w:rFonts w:ascii="Simplified Arabic" w:hAnsi="Simplified Arabic" w:cs="Simplified Arabic"/>
          <w:sz w:val="28"/>
          <w:szCs w:val="28"/>
          <w:rtl/>
        </w:rPr>
        <w:t>«</w:t>
      </w:r>
      <w:r w:rsidR="00293775">
        <w:rPr>
          <w:rFonts w:ascii="Simplified Arabic" w:hAnsi="Simplified Arabic" w:cs="Simplified Arabic" w:hint="cs"/>
          <w:sz w:val="28"/>
          <w:szCs w:val="28"/>
          <w:rtl/>
        </w:rPr>
        <w:t>فجعله منحصرا في كامل " التراكمات الثقافية منذ العصر الجاهلي إلى بداية مرحلة الاستعمار في مطلع القرن الماضي من فكر وثقافة وقيم فنية أخلاقية ما تزال محفوظة لنا بصورة من الصور"</w:t>
      </w:r>
      <w:r w:rsidR="00293775">
        <w:rPr>
          <w:rFonts w:ascii="Simplified Arabic" w:hAnsi="Simplified Arabic" w:cs="Simplified Arabic"/>
          <w:sz w:val="28"/>
          <w:szCs w:val="28"/>
          <w:rtl/>
        </w:rPr>
        <w:t>»</w:t>
      </w:r>
      <w:r w:rsidR="00293775">
        <w:rPr>
          <w:rStyle w:val="FootnoteReference"/>
          <w:rFonts w:ascii="Simplified Arabic" w:hAnsi="Simplified Arabic" w:cs="Simplified Arabic"/>
          <w:sz w:val="28"/>
          <w:szCs w:val="28"/>
          <w:rtl/>
        </w:rPr>
        <w:footnoteReference w:id="2"/>
      </w:r>
      <w:r w:rsidR="00293775">
        <w:rPr>
          <w:rFonts w:ascii="Simplified Arabic" w:hAnsi="Simplified Arabic" w:cs="Simplified Arabic" w:hint="cs"/>
          <w:sz w:val="28"/>
          <w:szCs w:val="28"/>
          <w:rtl/>
        </w:rPr>
        <w:t>.</w:t>
      </w:r>
    </w:p>
    <w:p w:rsidR="00293775" w:rsidRDefault="00293775" w:rsidP="00293775">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يستلزم التحديد الزمني للتراث اعتباره منتهيا وجامدا، وهذا ما لا يتفق عليه الدارسون، حيث تذهب بعض ال</w:t>
      </w:r>
      <w:r w:rsidR="00B7545D">
        <w:rPr>
          <w:rFonts w:ascii="Simplified Arabic" w:hAnsi="Simplified Arabic" w:cs="Simplified Arabic" w:hint="cs"/>
          <w:sz w:val="28"/>
          <w:szCs w:val="28"/>
          <w:rtl/>
        </w:rPr>
        <w:t>آ</w:t>
      </w:r>
      <w:r>
        <w:rPr>
          <w:rFonts w:ascii="Simplified Arabic" w:hAnsi="Simplified Arabic" w:cs="Simplified Arabic" w:hint="cs"/>
          <w:sz w:val="28"/>
          <w:szCs w:val="28"/>
          <w:rtl/>
        </w:rPr>
        <w:t>ر</w:t>
      </w:r>
      <w:r w:rsidR="00B7545D">
        <w:rPr>
          <w:rFonts w:ascii="Simplified Arabic" w:hAnsi="Simplified Arabic" w:cs="Simplified Arabic" w:hint="cs"/>
          <w:sz w:val="28"/>
          <w:szCs w:val="28"/>
          <w:rtl/>
        </w:rPr>
        <w:t>ا</w:t>
      </w:r>
      <w:r>
        <w:rPr>
          <w:rFonts w:ascii="Simplified Arabic" w:hAnsi="Simplified Arabic" w:cs="Simplified Arabic" w:hint="cs"/>
          <w:sz w:val="28"/>
          <w:szCs w:val="28"/>
          <w:rtl/>
        </w:rPr>
        <w:t xml:space="preserve">ء إلى أن للتراث امتدادا في الراهن، وأن الراهن لم ينشأ من عدم، بل هو مرتبط بالتراث.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لهذا كله </w:t>
      </w:r>
      <w:r w:rsidR="00384FCF">
        <w:rPr>
          <w:rFonts w:ascii="Simplified Arabic" w:hAnsi="Simplified Arabic" w:cs="Simplified Arabic" w:hint="cs"/>
          <w:sz w:val="28"/>
          <w:szCs w:val="28"/>
          <w:rtl/>
        </w:rPr>
        <w:t xml:space="preserve">نرى أن ليس للتراث حدود </w:t>
      </w:r>
      <w:r w:rsidR="00B7545D">
        <w:rPr>
          <w:rFonts w:ascii="Simplified Arabic" w:hAnsi="Simplified Arabic" w:cs="Simplified Arabic" w:hint="cs"/>
          <w:sz w:val="28"/>
          <w:szCs w:val="28"/>
          <w:rtl/>
        </w:rPr>
        <w:t>ز</w:t>
      </w:r>
      <w:r w:rsidR="00384FCF">
        <w:rPr>
          <w:rFonts w:ascii="Simplified Arabic" w:hAnsi="Simplified Arabic" w:cs="Simplified Arabic" w:hint="cs"/>
          <w:sz w:val="28"/>
          <w:szCs w:val="28"/>
          <w:rtl/>
        </w:rPr>
        <w:t>مانية ولا نوعية إذ يشمل مختلف التراكمات الثقافية والحضارية والفنية واللغوية والذاكرة الجماعية، إلى آخر ما أنتجه الإبداع العربي من كتب وموسيقى ومعمار وغيرها، فهو يعيش في وجداننا وأذواقنا، نتنفسه يوميا، ونعيش على إيقاعه، ونسعى إلى تجاوزه وهو فينا</w:t>
      </w:r>
      <w:r>
        <w:rPr>
          <w:rFonts w:ascii="Simplified Arabic" w:hAnsi="Simplified Arabic" w:cs="Simplified Arabic"/>
          <w:sz w:val="28"/>
          <w:szCs w:val="28"/>
          <w:rtl/>
        </w:rPr>
        <w:t>»</w:t>
      </w:r>
      <w:r w:rsidR="00384FCF">
        <w:rPr>
          <w:rStyle w:val="FootnoteReference"/>
          <w:rFonts w:ascii="Simplified Arabic" w:hAnsi="Simplified Arabic" w:cs="Simplified Arabic"/>
          <w:sz w:val="28"/>
          <w:szCs w:val="28"/>
          <w:rtl/>
        </w:rPr>
        <w:footnoteReference w:id="3"/>
      </w:r>
      <w:r w:rsidR="00384FCF">
        <w:rPr>
          <w:rFonts w:ascii="Simplified Arabic" w:hAnsi="Simplified Arabic" w:cs="Simplified Arabic" w:hint="cs"/>
          <w:sz w:val="28"/>
          <w:szCs w:val="28"/>
          <w:rtl/>
        </w:rPr>
        <w:t>.</w:t>
      </w:r>
    </w:p>
    <w:p w:rsidR="001E389C" w:rsidRDefault="00384FCF" w:rsidP="00737740">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اختلف المفكرون والنقاد في موقفهم من التراث بين ممجد له ومنكر؛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ممجد يرى الفضل كل الفضل في تقديسه واعتباره شيئا جامدا لا يتطور ولا يتغير وسلطة لا محيد عنها، ويرى أن العودة إليه عودة إلى الأصلوإثباتا للهوية والأصالة، وأن التخلي عنه انسياق إلى الغزو الثقافي والتغريب ما إلى ذلك، وهذا موقف السلفيين والماضويين بجميع أصنافهم ، أما المنكر، فإنه يهجنه ويرى فيه صورة للتخلف وقيدا يمنع من الانخراط في حداثة العصر، فيدعو إلى طمسه </w:t>
      </w:r>
      <w:r w:rsidR="001E389C">
        <w:rPr>
          <w:rFonts w:ascii="Simplified Arabic" w:hAnsi="Simplified Arabic" w:cs="Simplified Arabic" w:hint="cs"/>
          <w:sz w:val="28"/>
          <w:szCs w:val="28"/>
          <w:rtl/>
        </w:rPr>
        <w:t>ومحوه واستبداله، وهذا موقف عبد الله العروي مثلا في كتابه "العرب والفكر التاريخي" (...) والحق أن كلا الموقفين لا يأخذ بعين الاعتبار الجدلية القائمة بين التراث والواقع، ولا يرى أصحابها فيه حركة صيرورة دائمة تمضي في رحلتها من الماضي إلى الحاضر، لذلك لا بد من معرفته وفهمه وتقويمه التقويم الصحيح، والنظر إليه نظرة نقدية لرصد جوانبه النيرة واستيعابه وصهره في وجداننا وأساليبنا، ومحاورته وإغنائه وتجاوزه انطلاقا من جدليته وامتداده فينا لبناء حركة المستقبل</w:t>
      </w:r>
      <w:r>
        <w:rPr>
          <w:rFonts w:ascii="Simplified Arabic" w:hAnsi="Simplified Arabic" w:cs="Simplified Arabic"/>
          <w:sz w:val="28"/>
          <w:szCs w:val="28"/>
          <w:rtl/>
        </w:rPr>
        <w:t>»</w:t>
      </w:r>
      <w:r w:rsidR="001E389C">
        <w:rPr>
          <w:rStyle w:val="FootnoteReference"/>
          <w:rFonts w:ascii="Simplified Arabic" w:hAnsi="Simplified Arabic" w:cs="Simplified Arabic"/>
          <w:sz w:val="28"/>
          <w:szCs w:val="28"/>
          <w:rtl/>
        </w:rPr>
        <w:footnoteReference w:id="4"/>
      </w:r>
      <w:r w:rsidR="001E389C">
        <w:rPr>
          <w:rFonts w:ascii="Simplified Arabic" w:hAnsi="Simplified Arabic" w:cs="Simplified Arabic" w:hint="cs"/>
          <w:sz w:val="28"/>
          <w:szCs w:val="28"/>
          <w:rtl/>
        </w:rPr>
        <w:t>.</w:t>
      </w:r>
    </w:p>
    <w:p w:rsidR="00051DE9" w:rsidRDefault="0021194E" w:rsidP="002C0D4D">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051DE9" w:rsidRPr="0021194E">
        <w:rPr>
          <w:rFonts w:ascii="Simplified Arabic" w:hAnsi="Simplified Arabic" w:cs="Simplified Arabic"/>
          <w:sz w:val="28"/>
          <w:szCs w:val="28"/>
          <w:rtl/>
        </w:rPr>
        <w:t>عرفت الثقافة العربية التراثية</w:t>
      </w:r>
      <w:r w:rsidR="00700FB3">
        <w:rPr>
          <w:rFonts w:ascii="Simplified Arabic" w:hAnsi="Simplified Arabic" w:cs="Simplified Arabic" w:hint="cs"/>
          <w:sz w:val="28"/>
          <w:szCs w:val="28"/>
          <w:rtl/>
        </w:rPr>
        <w:t xml:space="preserve"> أشكالا متعددة للسرد والقص، كقصص</w:t>
      </w:r>
      <w:r w:rsidR="00051DE9" w:rsidRPr="0021194E">
        <w:rPr>
          <w:rFonts w:ascii="Simplified Arabic" w:hAnsi="Simplified Arabic" w:cs="Simplified Arabic" w:hint="cs"/>
          <w:sz w:val="28"/>
          <w:szCs w:val="28"/>
          <w:rtl/>
        </w:rPr>
        <w:t xml:space="preserve"> الأنبياء، والقصص القرآني، والسير، وما جاء في كتب الأدب والأخبار وغيرها، وقد استعرض هذه الأشكال في علاقتها بالرواية العربية الحديثة فاروق خورشيد في كتابه "في الرواية العربية" الذي ضمنه أمثلة لبعض القصص التي ضمها كتاب التيجان لوهب بن منبه، وغيره من الكتب الأخرى، كما تعمق عبد الله إبراهيم في كتابه "السردية العربية" في رصد ملامح القص التراثي وبنياته السردية الموجودة في "ألف ليلية وليلة"، وفي الحكاية الخرافية، والسير الشعبية وفن إلقاء </w:t>
      </w:r>
      <w:r w:rsidR="00700FB3">
        <w:rPr>
          <w:rFonts w:ascii="Simplified Arabic" w:hAnsi="Simplified Arabic" w:cs="Simplified Arabic" w:hint="cs"/>
          <w:sz w:val="28"/>
          <w:szCs w:val="28"/>
          <w:rtl/>
        </w:rPr>
        <w:t xml:space="preserve">القصص لدى "الحكواتية" مما يثبت </w:t>
      </w:r>
      <w:r w:rsidR="00051DE9" w:rsidRPr="0021194E">
        <w:rPr>
          <w:rFonts w:ascii="Simplified Arabic" w:hAnsi="Simplified Arabic" w:cs="Simplified Arabic" w:hint="cs"/>
          <w:sz w:val="28"/>
          <w:szCs w:val="28"/>
          <w:rtl/>
        </w:rPr>
        <w:t>إقبال الجماهير العربية على القصص، والجذور العميقة لفن القص والحكي في المنطقة العربية، وغنى التراث السردي العربي القديم.</w:t>
      </w:r>
    </w:p>
    <w:p w:rsidR="002C0D4D" w:rsidRDefault="002C0D4D" w:rsidP="002C0D4D">
      <w:pPr>
        <w:bidi/>
        <w:spacing w:line="276" w:lineRule="auto"/>
        <w:jc w:val="both"/>
        <w:rPr>
          <w:rFonts w:ascii="Simplified Arabic" w:hAnsi="Simplified Arabic" w:cs="Simplified Arabic"/>
          <w:sz w:val="28"/>
          <w:szCs w:val="28"/>
          <w:rtl/>
        </w:rPr>
      </w:pPr>
    </w:p>
    <w:p w:rsidR="0021194E" w:rsidRPr="0021194E" w:rsidRDefault="0021194E" w:rsidP="002C0D4D">
      <w:pPr>
        <w:bidi/>
        <w:spacing w:line="276" w:lineRule="auto"/>
        <w:jc w:val="both"/>
        <w:rPr>
          <w:rFonts w:ascii="Simplified Arabic" w:hAnsi="Simplified Arabic" w:cs="Simplified Arabic"/>
          <w:b/>
          <w:bCs/>
          <w:sz w:val="28"/>
          <w:szCs w:val="28"/>
          <w:rtl/>
        </w:rPr>
      </w:pPr>
      <w:r>
        <w:rPr>
          <w:rFonts w:ascii="Simplified Arabic" w:hAnsi="Simplified Arabic" w:cs="Simplified Arabic" w:hint="cs"/>
          <w:sz w:val="28"/>
          <w:szCs w:val="28"/>
          <w:rtl/>
        </w:rPr>
        <w:t>1</w:t>
      </w:r>
      <w:r w:rsidRPr="0021194E">
        <w:rPr>
          <w:rFonts w:ascii="Simplified Arabic" w:hAnsi="Simplified Arabic" w:cs="Simplified Arabic" w:hint="cs"/>
          <w:b/>
          <w:bCs/>
          <w:sz w:val="28"/>
          <w:szCs w:val="28"/>
          <w:rtl/>
        </w:rPr>
        <w:t xml:space="preserve">. التراث السردي العربي القديم ونشأة الرواية العربية : </w:t>
      </w:r>
    </w:p>
    <w:p w:rsidR="000A60B9" w:rsidRPr="0021194E" w:rsidRDefault="0021194E" w:rsidP="002C0D4D">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A60B9" w:rsidRPr="0021194E">
        <w:rPr>
          <w:rFonts w:ascii="Simplified Arabic" w:hAnsi="Simplified Arabic" w:cs="Simplified Arabic" w:hint="cs"/>
          <w:sz w:val="28"/>
          <w:szCs w:val="28"/>
          <w:rtl/>
        </w:rPr>
        <w:t>يذهب الباحث عبد الله إبراهيم إلى أن لهذه المرويات الموروثة دورا كبيرا في التمهيد لنشأة الرواية العربية الحديثة، فعلى الرغم من انكسار النسق التقليدي الذي مثلته هذه المرويات الموروثة، وبداية انهيار أبنيتها السردية وتحللها، إلا أن الأنواع الأدبية الناشئة امتصت كثيرا من</w:t>
      </w:r>
      <w:r>
        <w:rPr>
          <w:rFonts w:ascii="Simplified Arabic" w:hAnsi="Simplified Arabic" w:cs="Simplified Arabic" w:hint="cs"/>
          <w:sz w:val="28"/>
          <w:szCs w:val="28"/>
          <w:rtl/>
        </w:rPr>
        <w:t xml:space="preserve"> </w:t>
      </w:r>
      <w:r w:rsidR="000A60B9" w:rsidRPr="0021194E">
        <w:rPr>
          <w:rFonts w:ascii="Simplified Arabic" w:hAnsi="Simplified Arabic" w:cs="Simplified Arabic" w:hint="cs"/>
          <w:sz w:val="28"/>
          <w:szCs w:val="28"/>
          <w:rtl/>
        </w:rPr>
        <w:t xml:space="preserve">سماتها الفنية والدلالية، قبل أن تنفصل عنها تدريجيا، </w:t>
      </w:r>
      <w:r w:rsidR="000A60B9" w:rsidRPr="0021194E">
        <w:rPr>
          <w:rFonts w:ascii="Simplified Arabic" w:hAnsi="Simplified Arabic" w:cs="Simplified Arabic"/>
          <w:sz w:val="28"/>
          <w:szCs w:val="28"/>
          <w:rtl/>
        </w:rPr>
        <w:t>«</w:t>
      </w:r>
      <w:r w:rsidR="000A60B9" w:rsidRPr="0021194E">
        <w:rPr>
          <w:rFonts w:ascii="Simplified Arabic" w:hAnsi="Simplified Arabic" w:cs="Simplified Arabic" w:hint="cs"/>
          <w:sz w:val="28"/>
          <w:szCs w:val="28"/>
          <w:rtl/>
        </w:rPr>
        <w:t>فالسمات المميزة للنوع الجديد لا تنبثق فجأة من الفراغ، إنما تستظل بسمات الأنواع السابقة، لكنها تقوم، في الوقت نفسه، بتنحية بعضها، والتمرد على الأخرى، وتوظيف ما تراه مناسبا كرصيد لها</w:t>
      </w:r>
      <w:r w:rsidR="000A60B9" w:rsidRPr="0021194E">
        <w:rPr>
          <w:rFonts w:ascii="Simplified Arabic" w:hAnsi="Simplified Arabic" w:cs="Simplified Arabic"/>
          <w:sz w:val="28"/>
          <w:szCs w:val="28"/>
          <w:rtl/>
        </w:rPr>
        <w:t>»</w:t>
      </w:r>
      <w:r w:rsidR="000A60B9" w:rsidRPr="0021194E">
        <w:rPr>
          <w:rStyle w:val="FootnoteReference"/>
          <w:rFonts w:ascii="Simplified Arabic" w:hAnsi="Simplified Arabic" w:cs="Simplified Arabic"/>
          <w:sz w:val="28"/>
          <w:szCs w:val="28"/>
          <w:rtl/>
        </w:rPr>
        <w:footnoteReference w:id="5"/>
      </w:r>
      <w:r w:rsidR="000A60B9" w:rsidRPr="0021194E">
        <w:rPr>
          <w:rFonts w:ascii="Simplified Arabic" w:hAnsi="Simplified Arabic" w:cs="Simplified Arabic" w:hint="cs"/>
          <w:sz w:val="28"/>
          <w:szCs w:val="28"/>
          <w:rtl/>
        </w:rPr>
        <w:t>.</w:t>
      </w:r>
    </w:p>
    <w:p w:rsidR="000A60B9" w:rsidRPr="0021194E" w:rsidRDefault="000A60B9" w:rsidP="002C0D4D">
      <w:pPr>
        <w:bidi/>
        <w:spacing w:line="276" w:lineRule="auto"/>
        <w:jc w:val="both"/>
        <w:rPr>
          <w:rFonts w:ascii="Simplified Arabic" w:hAnsi="Simplified Arabic" w:cs="Simplified Arabic"/>
          <w:sz w:val="28"/>
          <w:szCs w:val="28"/>
          <w:rtl/>
        </w:rPr>
      </w:pPr>
      <w:r w:rsidRPr="0021194E">
        <w:rPr>
          <w:rFonts w:ascii="Simplified Arabic" w:hAnsi="Simplified Arabic" w:cs="Simplified Arabic" w:hint="cs"/>
          <w:sz w:val="28"/>
          <w:szCs w:val="28"/>
          <w:rtl/>
        </w:rPr>
        <w:t>وقد نشأت الرواية العربية الحديثة على حدود ثقافتين؛ ثقافة تقليدية في طريقها للأفول، وثقافة جديدة في طريقها للتشكل والظهور، فهي نتاج تفاعل المؤثرات الثقافية من كليهما في السياق التاريخي للقرن التاسع عشر. بصيغة أخرى: لا يمكن تفسير نشأة الرواية العربية الحديثة بالمؤثر الغربي وحده، فهو عامل من بين عوامل أخرى، بعضها مرتبط بالثقافة العربية التراثية.</w:t>
      </w:r>
    </w:p>
    <w:p w:rsidR="000A60B9" w:rsidRPr="0021194E" w:rsidRDefault="000A60B9" w:rsidP="002C0D4D">
      <w:pPr>
        <w:bidi/>
        <w:spacing w:line="276" w:lineRule="auto"/>
        <w:jc w:val="both"/>
        <w:rPr>
          <w:rFonts w:ascii="Simplified Arabic" w:hAnsi="Simplified Arabic" w:cs="Simplified Arabic"/>
          <w:sz w:val="28"/>
          <w:szCs w:val="28"/>
          <w:rtl/>
        </w:rPr>
      </w:pPr>
      <w:r w:rsidRPr="0021194E">
        <w:rPr>
          <w:rFonts w:ascii="Simplified Arabic" w:hAnsi="Simplified Arabic" w:cs="Simplified Arabic" w:hint="cs"/>
          <w:sz w:val="28"/>
          <w:szCs w:val="28"/>
          <w:rtl/>
        </w:rPr>
        <w:t>إن الروايات التي كتبت بدءا من عام 1847 وحتى بداية القرن العشرين كانت موزعة بين أسلوب المقامات ولغتها الزخرفية واحتوائها على كم هائل من المعلومات غير المتجانسة، وبين الوقوع تحت تأثير الروايات الغربية الرديئة التي كانت يختارها صغار المترجمين</w:t>
      </w:r>
      <w:r w:rsidR="00924F26" w:rsidRPr="0021194E">
        <w:rPr>
          <w:rFonts w:ascii="Simplified Arabic" w:hAnsi="Simplified Arabic" w:cs="Simplified Arabic" w:hint="cs"/>
          <w:sz w:val="28"/>
          <w:szCs w:val="28"/>
          <w:rtl/>
        </w:rPr>
        <w:t xml:space="preserve"> لما فيها من غرائب ومغامرات</w:t>
      </w:r>
      <w:r w:rsidRPr="0021194E">
        <w:rPr>
          <w:rFonts w:ascii="Simplified Arabic" w:hAnsi="Simplified Arabic" w:cs="Simplified Arabic" w:hint="cs"/>
          <w:sz w:val="28"/>
          <w:szCs w:val="28"/>
          <w:rtl/>
        </w:rPr>
        <w:t xml:space="preserve">. </w:t>
      </w:r>
      <w:r w:rsidRPr="0021194E">
        <w:rPr>
          <w:rFonts w:ascii="Simplified Arabic" w:hAnsi="Simplified Arabic" w:cs="Simplified Arabic"/>
          <w:sz w:val="28"/>
          <w:szCs w:val="28"/>
          <w:rtl/>
        </w:rPr>
        <w:t>«</w:t>
      </w:r>
      <w:r w:rsidRPr="0021194E">
        <w:rPr>
          <w:rFonts w:ascii="Simplified Arabic" w:hAnsi="Simplified Arabic" w:cs="Simplified Arabic" w:hint="cs"/>
          <w:sz w:val="28"/>
          <w:szCs w:val="28"/>
          <w:rtl/>
        </w:rPr>
        <w:t xml:space="preserve">وهكذا فإن روايات </w:t>
      </w:r>
      <w:r w:rsidR="00924F26" w:rsidRPr="0021194E">
        <w:rPr>
          <w:rFonts w:ascii="Simplified Arabic" w:hAnsi="Simplified Arabic" w:cs="Simplified Arabic" w:hint="cs"/>
          <w:sz w:val="28"/>
          <w:szCs w:val="28"/>
          <w:rtl/>
        </w:rPr>
        <w:t>"مجمع البحرين" لليازجي، و"الساق على الساق" للشدياق، و"الهيام في جنان الشام" للبستاني وغيرها مليئة بالسجع والوعظ والعلوم الطبية والجغرافيا، إضافة إلى الغرائب والمغامرات</w:t>
      </w:r>
      <w:r w:rsidRPr="0021194E">
        <w:rPr>
          <w:rFonts w:ascii="Simplified Arabic" w:hAnsi="Simplified Arabic" w:cs="Simplified Arabic"/>
          <w:sz w:val="28"/>
          <w:szCs w:val="28"/>
          <w:rtl/>
        </w:rPr>
        <w:t>»</w:t>
      </w:r>
      <w:r w:rsidR="00924F26" w:rsidRPr="0021194E">
        <w:rPr>
          <w:rFonts w:ascii="Simplified Arabic" w:hAnsi="Simplified Arabic" w:cs="Simplified Arabic" w:hint="cs"/>
          <w:sz w:val="28"/>
          <w:szCs w:val="28"/>
          <w:rtl/>
        </w:rPr>
        <w:t xml:space="preserve">. </w:t>
      </w:r>
    </w:p>
    <w:p w:rsidR="00924F26" w:rsidRDefault="00924F26" w:rsidP="002C0D4D">
      <w:pPr>
        <w:bidi/>
        <w:spacing w:line="276" w:lineRule="auto"/>
        <w:jc w:val="both"/>
        <w:rPr>
          <w:rFonts w:ascii="Simplified Arabic" w:hAnsi="Simplified Arabic" w:cs="Simplified Arabic"/>
          <w:sz w:val="28"/>
          <w:szCs w:val="28"/>
          <w:rtl/>
        </w:rPr>
      </w:pPr>
      <w:r w:rsidRPr="0021194E">
        <w:rPr>
          <w:rFonts w:ascii="Simplified Arabic" w:hAnsi="Simplified Arabic" w:cs="Simplified Arabic" w:hint="cs"/>
          <w:sz w:val="28"/>
          <w:szCs w:val="28"/>
          <w:rtl/>
        </w:rPr>
        <w:lastRenderedPageBreak/>
        <w:t xml:space="preserve">يرى محمود أمين العالم أن الرواية العربية </w:t>
      </w:r>
      <w:r w:rsidRPr="0021194E">
        <w:rPr>
          <w:rFonts w:ascii="Simplified Arabic" w:hAnsi="Simplified Arabic" w:cs="Simplified Arabic"/>
          <w:sz w:val="28"/>
          <w:szCs w:val="28"/>
          <w:rtl/>
        </w:rPr>
        <w:t>«</w:t>
      </w:r>
      <w:r w:rsidRPr="0021194E">
        <w:rPr>
          <w:rFonts w:ascii="Simplified Arabic" w:hAnsi="Simplified Arabic" w:cs="Simplified Arabic" w:hint="cs"/>
          <w:sz w:val="28"/>
          <w:szCs w:val="28"/>
          <w:rtl/>
        </w:rPr>
        <w:t xml:space="preserve">قد ارتبطت أساسا منذ بداية نشأتها بمحاولة إبراز وبلورة الهوية القومية في مواجهة الآخر الغربي المستعمر، ولهذا كانت البدايات الأولى لبنيها التعبيرية امتدادا بنيويا لمختلف التعابير الأدبية التراثية السابقة </w:t>
      </w:r>
      <w:r w:rsidR="00E055F8" w:rsidRPr="0021194E">
        <w:rPr>
          <w:rFonts w:ascii="Simplified Arabic" w:hAnsi="Simplified Arabic" w:cs="Simplified Arabic" w:hint="cs"/>
          <w:sz w:val="28"/>
          <w:szCs w:val="28"/>
          <w:rtl/>
        </w:rPr>
        <w:t xml:space="preserve">وخاصة السير الشعبية والأحداث التاريخية البطولية والمقامات، دون أن يعني هذا أنها كانت تخلو من التأثر في تشكيلها البنيوي بالبيئة الاجتماعية والاقتصادية والوطنية والثقافية السائدة التي نشأت فيها وعنها، ولقد أحصى الدكتور علي شلش في كتابه الأخير "نشأة النقد الروائي في الأدب العربي الحديث"ما يقرب من 250 رواية عربية مؤلفة بين عام 1870 و1914. ولو تأملنا هذه الروايات سواء في عناوينها أو في موضوعات المتيسّر منها، لتبيّن لنا أن أغلب هذه الروايات كانت تستلهم التراث الأدبي العربي القديم في بعض أبنيته التعبيرية كالمقامة "كما هو الشأن عند علي مبارك والمويلحي وحافظ إبراهيم، بل نستطيع أن نعود إلى ما قبل هذا التاريخ </w:t>
      </w:r>
      <w:r w:rsidR="00884249" w:rsidRPr="0021194E">
        <w:rPr>
          <w:rFonts w:ascii="Simplified Arabic" w:hAnsi="Simplified Arabic" w:cs="Simplified Arabic" w:hint="cs"/>
          <w:sz w:val="28"/>
          <w:szCs w:val="28"/>
          <w:rtl/>
        </w:rPr>
        <w:t>في المقامة التي كتبها حسن العطار"، ولا شك أننا نتحدث عن هذه التعابير الأدبية بشكل مجازي عندما نطلق عليها اسم رواية، فلقد كانت في الحقيقة تعبر عن مرحلة انتقالية في الكتابة النثرية السردية تمهّد للبنية الروائية في الأدب العربي الحديث</w:t>
      </w:r>
      <w:r w:rsidRPr="0021194E">
        <w:rPr>
          <w:rFonts w:ascii="Simplified Arabic" w:hAnsi="Simplified Arabic" w:cs="Simplified Arabic"/>
          <w:sz w:val="28"/>
          <w:szCs w:val="28"/>
          <w:rtl/>
        </w:rPr>
        <w:t>»</w:t>
      </w:r>
      <w:r w:rsidR="00884249" w:rsidRPr="0021194E">
        <w:rPr>
          <w:rStyle w:val="FootnoteReference"/>
          <w:rFonts w:ascii="Simplified Arabic" w:hAnsi="Simplified Arabic" w:cs="Simplified Arabic"/>
          <w:sz w:val="28"/>
          <w:szCs w:val="28"/>
          <w:rtl/>
        </w:rPr>
        <w:footnoteReference w:id="6"/>
      </w:r>
      <w:r w:rsidR="00884249" w:rsidRPr="0021194E">
        <w:rPr>
          <w:rFonts w:ascii="Simplified Arabic" w:hAnsi="Simplified Arabic" w:cs="Simplified Arabic" w:hint="cs"/>
          <w:sz w:val="28"/>
          <w:szCs w:val="28"/>
          <w:rtl/>
        </w:rPr>
        <w:t>.</w:t>
      </w:r>
    </w:p>
    <w:p w:rsidR="002C0D4D" w:rsidRDefault="002C0D4D" w:rsidP="002C0D4D">
      <w:pPr>
        <w:bidi/>
        <w:spacing w:line="276" w:lineRule="auto"/>
        <w:jc w:val="both"/>
        <w:rPr>
          <w:rFonts w:ascii="Simplified Arabic" w:hAnsi="Simplified Arabic" w:cs="Simplified Arabic"/>
          <w:sz w:val="28"/>
          <w:szCs w:val="28"/>
          <w:rtl/>
        </w:rPr>
      </w:pPr>
    </w:p>
    <w:p w:rsidR="0021194E" w:rsidRPr="0021194E" w:rsidRDefault="0021194E" w:rsidP="002C0D4D">
      <w:pPr>
        <w:bidi/>
        <w:spacing w:line="276" w:lineRule="auto"/>
        <w:jc w:val="both"/>
        <w:rPr>
          <w:rFonts w:ascii="Simplified Arabic" w:hAnsi="Simplified Arabic" w:cs="Simplified Arabic"/>
          <w:b/>
          <w:bCs/>
          <w:sz w:val="28"/>
          <w:szCs w:val="28"/>
          <w:rtl/>
        </w:rPr>
      </w:pPr>
      <w:r w:rsidRPr="0021194E">
        <w:rPr>
          <w:rFonts w:ascii="Simplified Arabic" w:hAnsi="Simplified Arabic" w:cs="Simplified Arabic" w:hint="cs"/>
          <w:b/>
          <w:bCs/>
          <w:sz w:val="28"/>
          <w:szCs w:val="28"/>
          <w:rtl/>
        </w:rPr>
        <w:t xml:space="preserve">2. "حديث عيسى بن هشام" بين المقامة والرواية: </w:t>
      </w:r>
    </w:p>
    <w:p w:rsidR="00884249" w:rsidRPr="0021194E" w:rsidRDefault="0021194E" w:rsidP="002C0D4D">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884249" w:rsidRPr="0021194E">
        <w:rPr>
          <w:rFonts w:ascii="Simplified Arabic" w:hAnsi="Simplified Arabic" w:cs="Simplified Arabic" w:hint="cs"/>
          <w:sz w:val="28"/>
          <w:szCs w:val="28"/>
          <w:rtl/>
        </w:rPr>
        <w:t>أخذت الكتابات القصصية الأولى شكل المقامة، وكان هذا الشكل تعبيرا عن البحث عن خصوصية قومية في مواجهة الحضارة الغربية، والعمل الذي يكون اقرب إلى الرواية هو "حديث عيسى بن هشام" للمويلحي.</w:t>
      </w:r>
    </w:p>
    <w:p w:rsidR="00DC3B61" w:rsidRPr="0021194E" w:rsidRDefault="002C0D4D" w:rsidP="002C0D4D">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00515" w:rsidRPr="0021194E">
        <w:rPr>
          <w:rFonts w:ascii="Simplified Arabic" w:hAnsi="Simplified Arabic" w:cs="Simplified Arabic" w:hint="cs"/>
          <w:sz w:val="28"/>
          <w:szCs w:val="28"/>
          <w:rtl/>
        </w:rPr>
        <w:t>أسمى المويلحي كتابه "حديث عيسى بن هشام" مستمدا هذه الشخصية من التراث العربي، وقد كان والده من قبل أصدر كتابا بعنوان "حديث موسى بن عصام"، وقد يكون المويلحي قد تأثر به، وقد أهداه المويلحي الكتاب لأبيه كما أهداه لكل من الحكيم جمال الدين والشيخ محمد عبده والشيخ الشنقيطي، والشاعر محمود سامي البارودي، وجميعهم كانوا يهدفون إلى بعث مجد المسلمين، وإيقاظ عقولهم. صدر الكتاب عام 1907 وقبل ذلك كان قد أصدره في جريدة مصباح الشرق التي كان يديرها مع والده، وقد حقق الكتاب شهرة واسعة</w:t>
      </w:r>
      <w:r w:rsidR="00DC3B61" w:rsidRPr="0021194E">
        <w:rPr>
          <w:rFonts w:ascii="Simplified Arabic" w:hAnsi="Simplified Arabic" w:cs="Simplified Arabic" w:hint="cs"/>
          <w:sz w:val="28"/>
          <w:szCs w:val="28"/>
          <w:rtl/>
        </w:rPr>
        <w:t xml:space="preserve"> حتى يمرض الباشا.</w:t>
      </w:r>
    </w:p>
    <w:p w:rsidR="00DC3B61" w:rsidRPr="0021194E" w:rsidRDefault="0021194E" w:rsidP="002C0D4D">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C3B61" w:rsidRPr="0021194E">
        <w:rPr>
          <w:rFonts w:ascii="Simplified Arabic" w:hAnsi="Simplified Arabic" w:cs="Simplified Arabic" w:hint="cs"/>
          <w:sz w:val="28"/>
          <w:szCs w:val="28"/>
          <w:rtl/>
        </w:rPr>
        <w:t>قسم الباحث سيد بحراوي فصول الكتاب إلى ثلاث وحدات هي:</w:t>
      </w:r>
    </w:p>
    <w:p w:rsidR="00DC3B61" w:rsidRPr="0021194E" w:rsidRDefault="00DC3B61" w:rsidP="002C0D4D">
      <w:pPr>
        <w:bidi/>
        <w:spacing w:line="276" w:lineRule="auto"/>
        <w:jc w:val="both"/>
        <w:rPr>
          <w:rFonts w:ascii="Simplified Arabic" w:hAnsi="Simplified Arabic" w:cs="Simplified Arabic"/>
          <w:sz w:val="28"/>
          <w:szCs w:val="28"/>
          <w:rtl/>
        </w:rPr>
      </w:pPr>
      <w:r w:rsidRPr="0021194E">
        <w:rPr>
          <w:rFonts w:ascii="Simplified Arabic" w:hAnsi="Simplified Arabic" w:cs="Simplified Arabic" w:hint="cs"/>
          <w:sz w:val="28"/>
          <w:szCs w:val="28"/>
          <w:rtl/>
        </w:rPr>
        <w:lastRenderedPageBreak/>
        <w:t>الوحدة الأولى: تبدأ من بعث الباشا التركي حتى مرضه، وتروي حكاية الباشا خلال صراعه مع الراوي ثم مع المكاري وصولا إلى البوليس والنيابة والمحاكم الأهلية والشرعية حتى يمرض الباشا.</w:t>
      </w:r>
    </w:p>
    <w:p w:rsidR="00000515" w:rsidRPr="0021194E" w:rsidRDefault="00DC3B61" w:rsidP="002C0D4D">
      <w:pPr>
        <w:bidi/>
        <w:spacing w:line="276" w:lineRule="auto"/>
        <w:jc w:val="both"/>
        <w:rPr>
          <w:rFonts w:ascii="Simplified Arabic" w:hAnsi="Simplified Arabic" w:cs="Simplified Arabic"/>
          <w:sz w:val="28"/>
          <w:szCs w:val="28"/>
          <w:rtl/>
        </w:rPr>
      </w:pPr>
      <w:r w:rsidRPr="0021194E">
        <w:rPr>
          <w:rFonts w:ascii="Simplified Arabic" w:hAnsi="Simplified Arabic" w:cs="Simplified Arabic" w:hint="cs"/>
          <w:sz w:val="28"/>
          <w:szCs w:val="28"/>
          <w:rtl/>
        </w:rPr>
        <w:t>الوحدة الثانية: يتم فيها استعراض قطاعات مختلفة من المجتمع تشمل الأطباء وعلماء الدين والأعيان والتجار وعالم اللهو الذي يكاد يكون له استقلاله النسبي، حيث يركز الكاتب حديثه عن العمدة ابن الريف الذي ينتقل إلى القاهرة رغبة منه في حياة الترف ولكنه يتعرض لأنواع من الابتزاز وهو الشخصية الساذجة، ومن خلال مصاحبته ومتابعته ووصف المجالس المختلفة يتم نقد المجتمع.</w:t>
      </w:r>
    </w:p>
    <w:p w:rsidR="00DC3B61" w:rsidRPr="0021194E" w:rsidRDefault="00DC3B61" w:rsidP="002C0D4D">
      <w:pPr>
        <w:bidi/>
        <w:spacing w:line="276" w:lineRule="auto"/>
        <w:jc w:val="both"/>
        <w:rPr>
          <w:rFonts w:ascii="Simplified Arabic" w:hAnsi="Simplified Arabic" w:cs="Simplified Arabic"/>
          <w:sz w:val="28"/>
          <w:szCs w:val="28"/>
          <w:rtl/>
        </w:rPr>
      </w:pPr>
      <w:r w:rsidRPr="0021194E">
        <w:rPr>
          <w:rFonts w:ascii="Simplified Arabic" w:hAnsi="Simplified Arabic" w:cs="Simplified Arabic" w:hint="cs"/>
          <w:sz w:val="28"/>
          <w:szCs w:val="28"/>
          <w:rtl/>
        </w:rPr>
        <w:t>الوحدة الثالثة: تتناول قطاعات مختلفة في باريس، وتصف التطور الحاصل في الغرب.</w:t>
      </w:r>
    </w:p>
    <w:p w:rsidR="00DC3B61" w:rsidRPr="0021194E" w:rsidRDefault="00DC3B61" w:rsidP="002C0D4D">
      <w:pPr>
        <w:bidi/>
        <w:spacing w:line="276" w:lineRule="auto"/>
        <w:jc w:val="both"/>
        <w:rPr>
          <w:rFonts w:ascii="Simplified Arabic" w:hAnsi="Simplified Arabic" w:cs="Simplified Arabic"/>
          <w:sz w:val="28"/>
          <w:szCs w:val="28"/>
          <w:rtl/>
          <w:lang w:bidi="ar-DZ"/>
        </w:rPr>
      </w:pPr>
      <w:r w:rsidRPr="0021194E">
        <w:rPr>
          <w:rFonts w:ascii="Simplified Arabic" w:hAnsi="Simplified Arabic" w:cs="Simplified Arabic" w:hint="cs"/>
          <w:sz w:val="28"/>
          <w:szCs w:val="28"/>
          <w:rtl/>
        </w:rPr>
        <w:t>تقول الدكتورة انجيل بطرس سمعان عن الفترة التي يصورها عيسى ابن هشام بأنها "فترة ثرية بعوامل التغيير والتطور، فترة اختلط فيها القديم بالجديد، وبدا الجديد أقوى وأكثر انتشارا، وإن لم يكن دائما خيرا من القديم.</w:t>
      </w:r>
      <w:r w:rsidR="00B7545D">
        <w:rPr>
          <w:rFonts w:ascii="Simplified Arabic" w:hAnsi="Simplified Arabic" w:cs="Simplified Arabic" w:hint="cs"/>
          <w:sz w:val="28"/>
          <w:szCs w:val="28"/>
          <w:rtl/>
        </w:rPr>
        <w:t xml:space="preserve"> </w:t>
      </w:r>
      <w:r w:rsidRPr="0021194E">
        <w:rPr>
          <w:rFonts w:ascii="Simplified Arabic" w:hAnsi="Simplified Arabic" w:cs="Simplified Arabic" w:hint="cs"/>
          <w:sz w:val="28"/>
          <w:szCs w:val="28"/>
          <w:rtl/>
        </w:rPr>
        <w:t xml:space="preserve">إن الباشا التركي المبعوث من القبر يأتي محملا بقيم الماضي، عندما كان في عهد محمد علي، </w:t>
      </w:r>
      <w:r w:rsidR="003E63D5" w:rsidRPr="0021194E">
        <w:rPr>
          <w:rFonts w:ascii="Simplified Arabic" w:hAnsi="Simplified Arabic" w:cs="Simplified Arabic" w:hint="cs"/>
          <w:sz w:val="28"/>
          <w:szCs w:val="28"/>
          <w:rtl/>
        </w:rPr>
        <w:t>ويفاجأ بزيف كثير من الأمور، في المظاهر والعادات، وفي القيم الاجتماعية والخلقية، وحتى على مستوى اللغة ال</w:t>
      </w:r>
      <w:r w:rsidR="003E63D5" w:rsidRPr="0021194E">
        <w:rPr>
          <w:rFonts w:hint="cs"/>
          <w:sz w:val="28"/>
          <w:szCs w:val="28"/>
          <w:rtl/>
          <w:lang w:bidi="ar-DZ"/>
        </w:rPr>
        <w:t xml:space="preserve"> </w:t>
      </w:r>
      <w:r w:rsidR="003E63D5" w:rsidRPr="0021194E">
        <w:rPr>
          <w:rFonts w:ascii="Simplified Arabic" w:hAnsi="Simplified Arabic" w:cs="Simplified Arabic" w:hint="cs"/>
          <w:sz w:val="28"/>
          <w:szCs w:val="28"/>
          <w:rtl/>
          <w:lang w:bidi="ar-DZ"/>
        </w:rPr>
        <w:t>ويكاد يصدم في البداية إذ يتعرض للمرض، ولكنه سرعان ما يشفى ويصبح بحاجة إلى مزيد من الاطلاع وتقبل الوضع الراهن، ليس كذلك فحسب، بل يرغب في القيام برحلة إلى باريس ويزورها بالفعل رفقة الراوي، ويكاد الكاتب أن يصل بنا إلى الحل الآتي، وهو ضرورة الاعتماد على الحضارة الغربية في شقها المادي والعودة إلى التراث العربي الإسلامي في شقه الروحي والأخلاقي.</w:t>
      </w:r>
      <w:r w:rsidR="003E63D5" w:rsidRPr="0021194E">
        <w:rPr>
          <w:rStyle w:val="FootnoteReference"/>
          <w:rFonts w:ascii="Simplified Arabic" w:hAnsi="Simplified Arabic" w:cs="Simplified Arabic"/>
          <w:sz w:val="28"/>
          <w:szCs w:val="28"/>
          <w:rtl/>
          <w:lang w:bidi="ar-DZ"/>
        </w:rPr>
        <w:footnoteReference w:id="7"/>
      </w:r>
    </w:p>
    <w:p w:rsidR="003E63D5" w:rsidRPr="0021194E" w:rsidRDefault="002C0D4D" w:rsidP="002C0D4D">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E63D5" w:rsidRPr="0021194E">
        <w:rPr>
          <w:rFonts w:ascii="Simplified Arabic" w:hAnsi="Simplified Arabic" w:cs="Simplified Arabic" w:hint="cs"/>
          <w:sz w:val="28"/>
          <w:szCs w:val="28"/>
          <w:rtl/>
          <w:lang w:bidi="ar-DZ"/>
        </w:rPr>
        <w:t xml:space="preserve">حظي "حديث عيسى بن هشام" باهتمام كبير من النقاد والدارسين، اهتم معظمهم بإشكالية النوع الأدبي للكتاب، </w:t>
      </w:r>
      <w:r w:rsidR="003E63D5" w:rsidRPr="0021194E">
        <w:rPr>
          <w:rFonts w:ascii="Simplified Arabic" w:hAnsi="Simplified Arabic" w:cs="Simplified Arabic"/>
          <w:sz w:val="28"/>
          <w:szCs w:val="28"/>
          <w:rtl/>
          <w:lang w:bidi="ar-DZ"/>
        </w:rPr>
        <w:t>«</w:t>
      </w:r>
      <w:r w:rsidR="003E63D5" w:rsidRPr="0021194E">
        <w:rPr>
          <w:rFonts w:ascii="Simplified Arabic" w:hAnsi="Simplified Arabic" w:cs="Simplified Arabic" w:hint="cs"/>
          <w:sz w:val="28"/>
          <w:szCs w:val="28"/>
          <w:rtl/>
          <w:lang w:bidi="ar-DZ"/>
        </w:rPr>
        <w:t xml:space="preserve">فقد ذهب "هاملتون جيب" إلى أن شهرته لا تعزى إلى حكايته أو مغزاه، إنما إلى "أسلوبه البارع واقتداره على الوصف "، فـ"المويلحي" جمع فيه بين أحسن ما في أسلوب </w:t>
      </w:r>
      <w:r w:rsidR="00A52C67" w:rsidRPr="0021194E">
        <w:rPr>
          <w:rFonts w:ascii="Simplified Arabic" w:hAnsi="Simplified Arabic" w:cs="Simplified Arabic" w:hint="cs"/>
          <w:sz w:val="28"/>
          <w:szCs w:val="28"/>
          <w:rtl/>
          <w:lang w:bidi="ar-DZ"/>
        </w:rPr>
        <w:t xml:space="preserve">المقامة من خواص وبين أسلوب حديث يتسم بالسلاسة والفكاهة"، وأضاف : "لقد واتر ببراعة بين النثر المسجوع في الأقسام السردية ..ومقاطع حوارية صيغت بأسلوب سهل حديث، لم يتنكر في بعض أجزائه للغة الدارجة". وفسر "العقاد" تقيد "المويلحي" بالسجع إلى أنه وضع الكتاب "على نسق المقامات، واختار له اسم روايته كأسماء رواتها، فالتزم فيه ما كانوا يلتزمونه في مقاماتهم من الأسجاع والأوضاع"، فيما ذهب "علي الراعي" إلى أن "الباحث المدقق يرى في الكتاب صراعا ملحوظا بين فن المقامة وفن الرواية؛ فالمقامة تغلب على الكتاب في أوائل الفصول، ثم لا يلبث ما في الفصل من قصة أن يتغلب على المقامة، فيصبح الدفع </w:t>
      </w:r>
      <w:r w:rsidR="00A52C67" w:rsidRPr="0021194E">
        <w:rPr>
          <w:rFonts w:ascii="Simplified Arabic" w:hAnsi="Simplified Arabic" w:cs="Simplified Arabic" w:hint="cs"/>
          <w:sz w:val="28"/>
          <w:szCs w:val="28"/>
          <w:rtl/>
          <w:lang w:bidi="ar-DZ"/>
        </w:rPr>
        <w:lastRenderedPageBreak/>
        <w:t>باتجاه الرواية أوضح". أما شوقي ضيف فرأى أنه "وسع جنبات المقامة القديمة، وخرج بها إلى حوار واسع، تأثر فيه بطريقة الغربيين في قصصهم... فالحوادث تتطور والشخصيات تصور بنزعاتها النفسية في المواقف المختلفة</w:t>
      </w:r>
      <w:r w:rsidR="003E63D5" w:rsidRPr="0021194E">
        <w:rPr>
          <w:rFonts w:ascii="Simplified Arabic" w:hAnsi="Simplified Arabic" w:cs="Simplified Arabic"/>
          <w:sz w:val="28"/>
          <w:szCs w:val="28"/>
          <w:rtl/>
          <w:lang w:bidi="ar-DZ"/>
        </w:rPr>
        <w:t>»</w:t>
      </w:r>
      <w:r w:rsidR="00A52C67" w:rsidRPr="0021194E">
        <w:rPr>
          <w:rStyle w:val="FootnoteReference"/>
          <w:rFonts w:ascii="Simplified Arabic" w:hAnsi="Simplified Arabic" w:cs="Simplified Arabic"/>
          <w:sz w:val="28"/>
          <w:szCs w:val="28"/>
          <w:rtl/>
          <w:lang w:bidi="ar-DZ"/>
        </w:rPr>
        <w:footnoteReference w:id="8"/>
      </w:r>
      <w:r w:rsidR="00A52C67" w:rsidRPr="0021194E">
        <w:rPr>
          <w:rFonts w:ascii="Simplified Arabic" w:hAnsi="Simplified Arabic" w:cs="Simplified Arabic" w:hint="cs"/>
          <w:sz w:val="28"/>
          <w:szCs w:val="28"/>
          <w:rtl/>
          <w:lang w:bidi="ar-DZ"/>
        </w:rPr>
        <w:t>.</w:t>
      </w:r>
    </w:p>
    <w:p w:rsidR="002C0D4D" w:rsidRDefault="002C0D4D" w:rsidP="002C0D4D">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21194E" w:rsidRPr="0021194E">
        <w:rPr>
          <w:rFonts w:ascii="Simplified Arabic" w:hAnsi="Simplified Arabic" w:cs="Simplified Arabic" w:hint="cs"/>
          <w:sz w:val="28"/>
          <w:szCs w:val="28"/>
          <w:rtl/>
          <w:lang w:bidi="ar-DZ"/>
        </w:rPr>
        <w:t xml:space="preserve">أما الناقد عبد الله إبراهيم فيصف الكتاب على أنه </w:t>
      </w:r>
      <w:r w:rsidR="0021194E" w:rsidRPr="0021194E">
        <w:rPr>
          <w:rFonts w:ascii="Simplified Arabic" w:hAnsi="Simplified Arabic" w:cs="Simplified Arabic"/>
          <w:sz w:val="28"/>
          <w:szCs w:val="28"/>
          <w:rtl/>
          <w:lang w:bidi="ar-DZ"/>
        </w:rPr>
        <w:t>«</w:t>
      </w:r>
      <w:r w:rsidR="0021194E" w:rsidRPr="0021194E">
        <w:rPr>
          <w:rFonts w:ascii="Simplified Arabic" w:hAnsi="Simplified Arabic" w:cs="Simplified Arabic" w:hint="cs"/>
          <w:sz w:val="28"/>
          <w:szCs w:val="28"/>
          <w:rtl/>
          <w:lang w:bidi="ar-DZ"/>
        </w:rPr>
        <w:t>كتاب عبور بين تصورين مختلفين عن العالم، ويُعدّ الوثيقة السردية الأكثر أهمية التي رسمت ذلك التحول، فالكتاب بشخصياته ونظامه القيمي والدلالي بدأ بحالة معينة، ثم انتهى بحالة مختلفة، حيث تغيرت القيم والشخصيات والمنظورات السردية، حتى اللغة والأسلوب (...) ويمكن اعتباره إشارة ختام لنسق سردي قديم وعلامة بدء لنسق سردي جديد</w:t>
      </w:r>
      <w:r w:rsidR="0021194E" w:rsidRPr="0021194E">
        <w:rPr>
          <w:rFonts w:ascii="Simplified Arabic" w:hAnsi="Simplified Arabic" w:cs="Simplified Arabic"/>
          <w:sz w:val="28"/>
          <w:szCs w:val="28"/>
          <w:rtl/>
          <w:lang w:bidi="ar-DZ"/>
        </w:rPr>
        <w:t>»</w:t>
      </w:r>
      <w:r w:rsidR="0021194E" w:rsidRPr="0021194E">
        <w:rPr>
          <w:rStyle w:val="FootnoteReference"/>
          <w:rFonts w:ascii="Simplified Arabic" w:hAnsi="Simplified Arabic" w:cs="Simplified Arabic"/>
          <w:sz w:val="28"/>
          <w:szCs w:val="28"/>
          <w:rtl/>
          <w:lang w:bidi="ar-DZ"/>
        </w:rPr>
        <w:footnoteReference w:id="9"/>
      </w:r>
      <w:r>
        <w:rPr>
          <w:rFonts w:ascii="Simplified Arabic" w:hAnsi="Simplified Arabic" w:cs="Simplified Arabic" w:hint="cs"/>
          <w:sz w:val="28"/>
          <w:szCs w:val="28"/>
          <w:rtl/>
          <w:lang w:bidi="ar-DZ"/>
        </w:rPr>
        <w:t>.</w:t>
      </w:r>
    </w:p>
    <w:p w:rsidR="002C0D4D" w:rsidRPr="0021194E" w:rsidRDefault="002C0D4D" w:rsidP="002C0D4D">
      <w:pPr>
        <w:bidi/>
        <w:spacing w:line="276" w:lineRule="auto"/>
        <w:jc w:val="both"/>
        <w:rPr>
          <w:rFonts w:ascii="Simplified Arabic" w:hAnsi="Simplified Arabic" w:cs="Simplified Arabic"/>
          <w:sz w:val="28"/>
          <w:szCs w:val="28"/>
          <w:rtl/>
          <w:lang w:bidi="ar-DZ"/>
        </w:rPr>
      </w:pPr>
    </w:p>
    <w:p w:rsidR="00884249" w:rsidRPr="0021194E" w:rsidRDefault="002C0D4D" w:rsidP="002C0D4D">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1194E" w:rsidRPr="0021194E">
        <w:rPr>
          <w:rFonts w:ascii="Simplified Arabic" w:hAnsi="Simplified Arabic" w:cs="Simplified Arabic" w:hint="cs"/>
          <w:sz w:val="28"/>
          <w:szCs w:val="28"/>
          <w:rtl/>
        </w:rPr>
        <w:t xml:space="preserve">في الأخير نود أن نشير إلى أنه </w:t>
      </w:r>
      <w:r w:rsidR="00884249" w:rsidRPr="0021194E">
        <w:rPr>
          <w:rFonts w:ascii="Simplified Arabic" w:hAnsi="Simplified Arabic" w:cs="Simplified Arabic"/>
          <w:sz w:val="28"/>
          <w:szCs w:val="28"/>
          <w:rtl/>
        </w:rPr>
        <w:t>«</w:t>
      </w:r>
      <w:r w:rsidR="00884249" w:rsidRPr="0021194E">
        <w:rPr>
          <w:rFonts w:ascii="Simplified Arabic" w:hAnsi="Simplified Arabic" w:cs="Simplified Arabic" w:hint="cs"/>
          <w:sz w:val="28"/>
          <w:szCs w:val="28"/>
          <w:rtl/>
        </w:rPr>
        <w:t>إذا كانت الرواية العربية قد أخذت تتخلص من ارتباطاتها الأولى ببعض الأبنية التعبيرية القديمة من مقامات وحكايات وسير شعبية، وأخذ يغلب عليها الشكل الروائي الغربي، فإنها عادت (...) عند بعض الروائيين المعاصرين إلى استلهام الأشكال التراثية القديمة والتاريخ القديم والحديث استلهاما متخيلا أو نقلا تسجيليا مباشرا منه، كما تداخلت في الرواية العربية الحديثة بعض الأجناس الأدبية والثقافية الأخرى من شعر ومسرح وفكر، فضلا عن استفادتها من بعض الفنون وخاصة فن السينما</w:t>
      </w:r>
      <w:r w:rsidR="00884249" w:rsidRPr="0021194E">
        <w:rPr>
          <w:rFonts w:ascii="Simplified Arabic" w:hAnsi="Simplified Arabic" w:cs="Simplified Arabic"/>
          <w:sz w:val="28"/>
          <w:szCs w:val="28"/>
          <w:rtl/>
        </w:rPr>
        <w:t>»</w:t>
      </w:r>
      <w:r w:rsidR="00884249" w:rsidRPr="0021194E">
        <w:rPr>
          <w:rStyle w:val="FootnoteReference"/>
          <w:rFonts w:ascii="Simplified Arabic" w:hAnsi="Simplified Arabic" w:cs="Simplified Arabic"/>
          <w:sz w:val="28"/>
          <w:szCs w:val="28"/>
          <w:rtl/>
        </w:rPr>
        <w:footnoteReference w:id="10"/>
      </w:r>
      <w:r w:rsidR="0021194E" w:rsidRPr="0021194E">
        <w:rPr>
          <w:rFonts w:ascii="Simplified Arabic" w:hAnsi="Simplified Arabic" w:cs="Simplified Arabic" w:hint="cs"/>
          <w:sz w:val="28"/>
          <w:szCs w:val="28"/>
          <w:rtl/>
        </w:rPr>
        <w:t>.</w:t>
      </w:r>
    </w:p>
    <w:p w:rsidR="00BB7B28" w:rsidRPr="0021194E" w:rsidRDefault="00051DE9" w:rsidP="002C0D4D">
      <w:pPr>
        <w:bidi/>
        <w:spacing w:line="276" w:lineRule="auto"/>
        <w:jc w:val="both"/>
        <w:rPr>
          <w:rFonts w:ascii="Simplified Arabic" w:hAnsi="Simplified Arabic" w:cs="Simplified Arabic"/>
          <w:sz w:val="28"/>
          <w:szCs w:val="28"/>
        </w:rPr>
      </w:pPr>
      <w:r w:rsidRPr="0021194E">
        <w:rPr>
          <w:rFonts w:ascii="Simplified Arabic" w:hAnsi="Simplified Arabic" w:cs="Simplified Arabic"/>
          <w:sz w:val="28"/>
          <w:szCs w:val="28"/>
          <w:rtl/>
        </w:rPr>
        <w:t xml:space="preserve"> </w:t>
      </w:r>
    </w:p>
    <w:p w:rsidR="00BB7B28" w:rsidRPr="0021194E" w:rsidRDefault="00BB7B28" w:rsidP="002C0D4D">
      <w:pPr>
        <w:bidi/>
        <w:spacing w:line="276" w:lineRule="auto"/>
        <w:jc w:val="both"/>
        <w:rPr>
          <w:sz w:val="28"/>
          <w:szCs w:val="28"/>
        </w:rPr>
      </w:pPr>
    </w:p>
    <w:p w:rsidR="00BB7B28" w:rsidRPr="0021194E" w:rsidRDefault="00BB7B28" w:rsidP="002C0D4D">
      <w:pPr>
        <w:bidi/>
        <w:spacing w:line="276" w:lineRule="auto"/>
        <w:jc w:val="both"/>
        <w:rPr>
          <w:sz w:val="28"/>
          <w:szCs w:val="28"/>
        </w:rPr>
      </w:pPr>
    </w:p>
    <w:p w:rsidR="00BB7B28" w:rsidRPr="0021194E" w:rsidRDefault="00BB7B28" w:rsidP="002C0D4D">
      <w:pPr>
        <w:bidi/>
        <w:spacing w:line="276" w:lineRule="auto"/>
        <w:jc w:val="both"/>
        <w:rPr>
          <w:sz w:val="28"/>
          <w:szCs w:val="28"/>
        </w:rPr>
      </w:pPr>
    </w:p>
    <w:p w:rsidR="00BB7B28" w:rsidRPr="0021194E" w:rsidRDefault="00BB7B28" w:rsidP="002C0D4D">
      <w:pPr>
        <w:bidi/>
        <w:spacing w:line="276" w:lineRule="auto"/>
        <w:jc w:val="both"/>
        <w:rPr>
          <w:sz w:val="28"/>
          <w:szCs w:val="28"/>
        </w:rPr>
      </w:pPr>
    </w:p>
    <w:sectPr w:rsidR="00BB7B28" w:rsidRPr="0021194E" w:rsidSect="000B144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6E8" w:rsidRDefault="00E866E8" w:rsidP="000A60B9">
      <w:r>
        <w:separator/>
      </w:r>
    </w:p>
  </w:endnote>
  <w:endnote w:type="continuationSeparator" w:id="0">
    <w:p w:rsidR="00E866E8" w:rsidRDefault="00E866E8" w:rsidP="000A6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184"/>
      <w:docPartObj>
        <w:docPartGallery w:val="Page Numbers (Bottom of Page)"/>
        <w:docPartUnique/>
      </w:docPartObj>
    </w:sdtPr>
    <w:sdtEndPr/>
    <w:sdtContent>
      <w:p w:rsidR="00384FCF" w:rsidRDefault="00806472">
        <w:pPr>
          <w:pStyle w:val="Footer"/>
          <w:jc w:val="center"/>
        </w:pPr>
        <w:r>
          <w:fldChar w:fldCharType="begin"/>
        </w:r>
        <w:r>
          <w:instrText xml:space="preserve"> PAGE   \* MERGEFORMAT </w:instrText>
        </w:r>
        <w:r>
          <w:fldChar w:fldCharType="separate"/>
        </w:r>
        <w:r w:rsidR="00B715A1">
          <w:rPr>
            <w:noProof/>
          </w:rPr>
          <w:t>1</w:t>
        </w:r>
        <w:r>
          <w:rPr>
            <w:noProof/>
          </w:rPr>
          <w:fldChar w:fldCharType="end"/>
        </w:r>
      </w:p>
    </w:sdtContent>
  </w:sdt>
  <w:p w:rsidR="00384FCF" w:rsidRDefault="00384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6E8" w:rsidRDefault="00E866E8" w:rsidP="002C0D4D">
      <w:pPr>
        <w:bidi/>
      </w:pPr>
      <w:r>
        <w:separator/>
      </w:r>
    </w:p>
  </w:footnote>
  <w:footnote w:type="continuationSeparator" w:id="0">
    <w:p w:rsidR="00E866E8" w:rsidRDefault="00E866E8" w:rsidP="000A60B9">
      <w:r>
        <w:continuationSeparator/>
      </w:r>
    </w:p>
  </w:footnote>
  <w:footnote w:id="1">
    <w:p w:rsidR="00384FCF" w:rsidRPr="006A6B53" w:rsidRDefault="00384FCF" w:rsidP="006A6B53">
      <w:pPr>
        <w:pStyle w:val="FootnoteText"/>
        <w:bidi/>
        <w:rPr>
          <w:rtl/>
          <w:lang w:bidi="ar-DZ"/>
        </w:rPr>
      </w:pPr>
      <w:r>
        <w:rPr>
          <w:rStyle w:val="FootnoteReference"/>
        </w:rPr>
        <w:footnoteRef/>
      </w:r>
      <w:r>
        <w:rPr>
          <w:rFonts w:hint="cs"/>
          <w:rtl/>
        </w:rPr>
        <w:t xml:space="preserve"> نواف نصار: معجم المصطلحات الأدبية، دار المعتز، عمان، 2009،  ص71.</w:t>
      </w:r>
      <w:r>
        <w:t xml:space="preserve"> </w:t>
      </w:r>
    </w:p>
  </w:footnote>
  <w:footnote w:id="2">
    <w:p w:rsidR="00384FCF" w:rsidRPr="00293775" w:rsidRDefault="00384FCF" w:rsidP="001E389C">
      <w:pPr>
        <w:pStyle w:val="FootnoteText"/>
        <w:bidi/>
        <w:rPr>
          <w:rtl/>
          <w:lang w:bidi="ar-DZ"/>
        </w:rPr>
      </w:pPr>
      <w:r>
        <w:rPr>
          <w:rStyle w:val="FootnoteReference"/>
        </w:rPr>
        <w:footnoteRef/>
      </w:r>
      <w:r>
        <w:t xml:space="preserve"> </w:t>
      </w:r>
      <w:r w:rsidR="001E389C">
        <w:rPr>
          <w:rFonts w:hint="cs"/>
          <w:rtl/>
        </w:rPr>
        <w:t xml:space="preserve"> محمود طرشونة، مدرسة توظيف التراث في الرواية العربية المعاصرة، مجلة فصول، المجلد 17، العدد1، صيف 1998، ص28.</w:t>
      </w:r>
    </w:p>
  </w:footnote>
  <w:footnote w:id="3">
    <w:p w:rsidR="00384FCF" w:rsidRPr="00384FCF" w:rsidRDefault="00384FCF" w:rsidP="001E389C">
      <w:pPr>
        <w:pStyle w:val="FootnoteText"/>
        <w:bidi/>
        <w:rPr>
          <w:rtl/>
          <w:lang w:bidi="ar-DZ"/>
        </w:rPr>
      </w:pPr>
      <w:r>
        <w:rPr>
          <w:rStyle w:val="FootnoteReference"/>
        </w:rPr>
        <w:footnoteRef/>
      </w:r>
      <w:r>
        <w:t xml:space="preserve"> </w:t>
      </w:r>
      <w:r w:rsidR="001E389C">
        <w:rPr>
          <w:rFonts w:hint="cs"/>
          <w:rtl/>
        </w:rPr>
        <w:t xml:space="preserve"> المرجع نفسه.</w:t>
      </w:r>
    </w:p>
  </w:footnote>
  <w:footnote w:id="4">
    <w:p w:rsidR="001E389C" w:rsidRPr="001E389C" w:rsidRDefault="001E389C" w:rsidP="001E389C">
      <w:pPr>
        <w:pStyle w:val="FootnoteText"/>
        <w:bidi/>
        <w:rPr>
          <w:rtl/>
          <w:lang w:bidi="ar-DZ"/>
        </w:rPr>
      </w:pPr>
      <w:r>
        <w:rPr>
          <w:rStyle w:val="FootnoteReference"/>
        </w:rPr>
        <w:footnoteRef/>
      </w:r>
      <w:r>
        <w:t xml:space="preserve"> </w:t>
      </w:r>
      <w:r>
        <w:rPr>
          <w:rFonts w:hint="cs"/>
          <w:rtl/>
        </w:rPr>
        <w:t xml:space="preserve"> المرجع نفسه، ص29</w:t>
      </w:r>
    </w:p>
  </w:footnote>
  <w:footnote w:id="5">
    <w:p w:rsidR="00384FCF" w:rsidRPr="002C0D4D" w:rsidRDefault="00384FCF" w:rsidP="000A60B9">
      <w:pPr>
        <w:pStyle w:val="FootnoteText"/>
        <w:bidi/>
        <w:rPr>
          <w:rFonts w:ascii="Simplified Arabic" w:hAnsi="Simplified Arabic" w:cs="Simplified Arabic"/>
          <w:sz w:val="24"/>
          <w:szCs w:val="24"/>
          <w:rtl/>
          <w:lang w:bidi="ar-DZ"/>
        </w:rPr>
      </w:pPr>
      <w:r w:rsidRPr="002C0D4D">
        <w:rPr>
          <w:rStyle w:val="FootnoteReference"/>
          <w:rFonts w:ascii="Simplified Arabic" w:hAnsi="Simplified Arabic" w:cs="Simplified Arabic"/>
          <w:sz w:val="24"/>
          <w:szCs w:val="24"/>
        </w:rPr>
        <w:footnoteRef/>
      </w:r>
      <w:r w:rsidRPr="002C0D4D">
        <w:rPr>
          <w:rFonts w:ascii="Simplified Arabic" w:hAnsi="Simplified Arabic" w:cs="Simplified Arabic"/>
          <w:sz w:val="24"/>
          <w:szCs w:val="24"/>
        </w:rPr>
        <w:t xml:space="preserve"> </w:t>
      </w:r>
      <w:r w:rsidRPr="002C0D4D">
        <w:rPr>
          <w:rFonts w:ascii="Simplified Arabic" w:hAnsi="Simplified Arabic" w:cs="Simplified Arabic"/>
          <w:sz w:val="24"/>
          <w:szCs w:val="24"/>
          <w:rtl/>
          <w:lang w:bidi="ar-DZ"/>
        </w:rPr>
        <w:t xml:space="preserve"> عبد الله إبراهيم: السردية العربية الحديثة، المؤسسة العربية للدراسات والنشر، لبنان، ط1، 2013.</w:t>
      </w:r>
    </w:p>
  </w:footnote>
  <w:footnote w:id="6">
    <w:p w:rsidR="00384FCF" w:rsidRPr="002C0D4D" w:rsidRDefault="00384FCF" w:rsidP="003E63D5">
      <w:pPr>
        <w:pStyle w:val="FootnoteText"/>
        <w:bidi/>
        <w:rPr>
          <w:rFonts w:ascii="Simplified Arabic" w:hAnsi="Simplified Arabic" w:cs="Simplified Arabic"/>
          <w:sz w:val="24"/>
          <w:szCs w:val="24"/>
          <w:rtl/>
          <w:lang w:bidi="ar-DZ"/>
        </w:rPr>
      </w:pPr>
      <w:r w:rsidRPr="002C0D4D">
        <w:rPr>
          <w:rStyle w:val="FootnoteReference"/>
          <w:rFonts w:ascii="Simplified Arabic" w:hAnsi="Simplified Arabic" w:cs="Simplified Arabic"/>
          <w:sz w:val="24"/>
          <w:szCs w:val="24"/>
        </w:rPr>
        <w:footnoteRef/>
      </w:r>
      <w:r w:rsidRPr="002C0D4D">
        <w:rPr>
          <w:rFonts w:ascii="Simplified Arabic" w:hAnsi="Simplified Arabic" w:cs="Simplified Arabic"/>
          <w:sz w:val="24"/>
          <w:szCs w:val="24"/>
        </w:rPr>
        <w:t xml:space="preserve"> </w:t>
      </w:r>
      <w:r w:rsidRPr="002C0D4D">
        <w:rPr>
          <w:rFonts w:ascii="Simplified Arabic" w:hAnsi="Simplified Arabic" w:cs="Simplified Arabic"/>
          <w:sz w:val="24"/>
          <w:szCs w:val="24"/>
          <w:rtl/>
          <w:lang w:bidi="ar-DZ"/>
        </w:rPr>
        <w:t xml:space="preserve"> محمود أمين العالم: أربعون عاما من النقد التطبيقي؛ البنية والدلالة في القصة والرواية العربية المعاصرة، دار المستقبل </w:t>
      </w:r>
      <w:r w:rsidR="00EB0359">
        <w:rPr>
          <w:rFonts w:ascii="Simplified Arabic" w:hAnsi="Simplified Arabic" w:cs="Simplified Arabic"/>
          <w:sz w:val="24"/>
          <w:szCs w:val="24"/>
          <w:rtl/>
          <w:lang w:bidi="ar-DZ"/>
        </w:rPr>
        <w:t>العربي، مصر، 1994، ص19.</w:t>
      </w:r>
    </w:p>
  </w:footnote>
  <w:footnote w:id="7">
    <w:p w:rsidR="00384FCF" w:rsidRPr="002C0D4D" w:rsidRDefault="00384FCF" w:rsidP="003E63D5">
      <w:pPr>
        <w:pStyle w:val="FootnoteText"/>
        <w:bidi/>
        <w:rPr>
          <w:rFonts w:ascii="Simplified Arabic" w:hAnsi="Simplified Arabic" w:cs="Simplified Arabic"/>
          <w:sz w:val="24"/>
          <w:szCs w:val="24"/>
          <w:rtl/>
          <w:lang w:bidi="ar-DZ"/>
        </w:rPr>
      </w:pPr>
      <w:r w:rsidRPr="002C0D4D">
        <w:rPr>
          <w:rStyle w:val="FootnoteReference"/>
          <w:rFonts w:ascii="Simplified Arabic" w:hAnsi="Simplified Arabic" w:cs="Simplified Arabic"/>
          <w:sz w:val="24"/>
          <w:szCs w:val="24"/>
        </w:rPr>
        <w:footnoteRef/>
      </w:r>
      <w:r w:rsidRPr="002C0D4D">
        <w:rPr>
          <w:rFonts w:ascii="Simplified Arabic" w:hAnsi="Simplified Arabic" w:cs="Simplified Arabic"/>
          <w:sz w:val="24"/>
          <w:szCs w:val="24"/>
        </w:rPr>
        <w:t xml:space="preserve"> </w:t>
      </w:r>
      <w:r w:rsidRPr="002C0D4D">
        <w:rPr>
          <w:rFonts w:ascii="Simplified Arabic" w:hAnsi="Simplified Arabic" w:cs="Simplified Arabic"/>
          <w:sz w:val="24"/>
          <w:szCs w:val="24"/>
          <w:rtl/>
          <w:lang w:bidi="ar-DZ"/>
        </w:rPr>
        <w:t>انظر صالح مفقودة: أبحاث في الرواية العربية 1، منشورات مخبر أبحاث في اللغة والأدب الجزائري، جامعة بسكرة، ص36.</w:t>
      </w:r>
    </w:p>
  </w:footnote>
  <w:footnote w:id="8">
    <w:p w:rsidR="00384FCF" w:rsidRPr="002C0D4D" w:rsidRDefault="00384FCF" w:rsidP="00A52C67">
      <w:pPr>
        <w:pStyle w:val="FootnoteText"/>
        <w:bidi/>
        <w:rPr>
          <w:rFonts w:ascii="Simplified Arabic" w:hAnsi="Simplified Arabic" w:cs="Simplified Arabic"/>
          <w:sz w:val="24"/>
          <w:szCs w:val="24"/>
          <w:rtl/>
          <w:lang w:bidi="ar-DZ"/>
        </w:rPr>
      </w:pPr>
      <w:r w:rsidRPr="002C0D4D">
        <w:rPr>
          <w:rStyle w:val="FootnoteReference"/>
          <w:rFonts w:ascii="Simplified Arabic" w:hAnsi="Simplified Arabic" w:cs="Simplified Arabic"/>
          <w:sz w:val="24"/>
          <w:szCs w:val="24"/>
        </w:rPr>
        <w:footnoteRef/>
      </w:r>
      <w:r w:rsidRPr="002C0D4D">
        <w:rPr>
          <w:rFonts w:ascii="Simplified Arabic" w:hAnsi="Simplified Arabic" w:cs="Simplified Arabic"/>
          <w:sz w:val="24"/>
          <w:szCs w:val="24"/>
        </w:rPr>
        <w:t xml:space="preserve"> </w:t>
      </w:r>
      <w:r w:rsidRPr="002C0D4D">
        <w:rPr>
          <w:rFonts w:ascii="Simplified Arabic" w:hAnsi="Simplified Arabic" w:cs="Simplified Arabic"/>
          <w:sz w:val="24"/>
          <w:szCs w:val="24"/>
          <w:rtl/>
          <w:lang w:bidi="ar-DZ"/>
        </w:rPr>
        <w:t xml:space="preserve"> عبد الله إبراهيم: السردية العربية الحديثة، ص272.</w:t>
      </w:r>
    </w:p>
  </w:footnote>
  <w:footnote w:id="9">
    <w:p w:rsidR="00384FCF" w:rsidRPr="002C0D4D" w:rsidRDefault="00384FCF" w:rsidP="0021194E">
      <w:pPr>
        <w:pStyle w:val="FootnoteText"/>
        <w:bidi/>
        <w:rPr>
          <w:rFonts w:ascii="Simplified Arabic" w:hAnsi="Simplified Arabic" w:cs="Simplified Arabic"/>
          <w:sz w:val="24"/>
          <w:szCs w:val="24"/>
          <w:rtl/>
          <w:lang w:bidi="ar-DZ"/>
        </w:rPr>
      </w:pPr>
      <w:r w:rsidRPr="002C0D4D">
        <w:rPr>
          <w:rStyle w:val="FootnoteReference"/>
          <w:rFonts w:ascii="Simplified Arabic" w:hAnsi="Simplified Arabic" w:cs="Simplified Arabic"/>
          <w:sz w:val="24"/>
          <w:szCs w:val="24"/>
        </w:rPr>
        <w:footnoteRef/>
      </w:r>
      <w:r w:rsidRPr="002C0D4D">
        <w:rPr>
          <w:rFonts w:ascii="Simplified Arabic" w:hAnsi="Simplified Arabic" w:cs="Simplified Arabic"/>
          <w:sz w:val="24"/>
          <w:szCs w:val="24"/>
        </w:rPr>
        <w:t xml:space="preserve"> </w:t>
      </w:r>
      <w:r w:rsidRPr="002C0D4D">
        <w:rPr>
          <w:rFonts w:ascii="Simplified Arabic" w:hAnsi="Simplified Arabic" w:cs="Simplified Arabic"/>
          <w:sz w:val="24"/>
          <w:szCs w:val="24"/>
          <w:rtl/>
          <w:lang w:bidi="ar-DZ"/>
        </w:rPr>
        <w:t xml:space="preserve"> المرجع نفسه، ص260.</w:t>
      </w:r>
    </w:p>
  </w:footnote>
  <w:footnote w:id="10">
    <w:p w:rsidR="00384FCF" w:rsidRDefault="00384FCF" w:rsidP="00884249">
      <w:pPr>
        <w:pStyle w:val="FootnoteText"/>
        <w:bidi/>
        <w:rPr>
          <w:rtl/>
          <w:lang w:bidi="ar-DZ"/>
        </w:rPr>
      </w:pPr>
      <w:r w:rsidRPr="002C0D4D">
        <w:rPr>
          <w:rStyle w:val="FootnoteReference"/>
          <w:rFonts w:ascii="Simplified Arabic" w:hAnsi="Simplified Arabic" w:cs="Simplified Arabic"/>
          <w:sz w:val="24"/>
          <w:szCs w:val="24"/>
        </w:rPr>
        <w:footnoteRef/>
      </w:r>
      <w:r w:rsidRPr="002C0D4D">
        <w:rPr>
          <w:rFonts w:ascii="Simplified Arabic" w:hAnsi="Simplified Arabic" w:cs="Simplified Arabic"/>
          <w:sz w:val="24"/>
          <w:szCs w:val="24"/>
        </w:rPr>
        <w:t xml:space="preserve"> </w:t>
      </w:r>
      <w:r w:rsidRPr="002C0D4D">
        <w:rPr>
          <w:rFonts w:ascii="Simplified Arabic" w:hAnsi="Simplified Arabic" w:cs="Simplified Arabic"/>
          <w:sz w:val="24"/>
          <w:szCs w:val="24"/>
          <w:rtl/>
          <w:lang w:bidi="ar-DZ"/>
        </w:rPr>
        <w:t>محمود أمين العالم: أربعون عاما من النقد التطبيقي؛ البنية والدلالة في القصة والرواية العربية المعاصرة، ص22</w:t>
      </w:r>
      <w:r>
        <w:rPr>
          <w:rFonts w:hint="cs"/>
          <w:rtl/>
          <w:lang w:bidi="ar-D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20"/>
      <w:gridCol w:w="1152"/>
    </w:tblGrid>
    <w:tr w:rsidR="00384FCF">
      <w:tc>
        <w:tcPr>
          <w:tcW w:w="0" w:type="auto"/>
          <w:tcBorders>
            <w:right w:val="single" w:sz="6" w:space="0" w:color="000000" w:themeColor="text1"/>
          </w:tcBorders>
        </w:tcPr>
        <w:sdt>
          <w:sdtPr>
            <w:alias w:val="Société"/>
            <w:id w:val="78735422"/>
            <w:placeholder>
              <w:docPart w:val="8B3A79CECB654FBA9B00D610DB378056"/>
            </w:placeholder>
            <w:dataBinding w:prefixMappings="xmlns:ns0='http://schemas.openxmlformats.org/officeDocument/2006/extended-properties'" w:xpath="/ns0:Properties[1]/ns0:Company[1]" w:storeItemID="{6668398D-A668-4E3E-A5EB-62B293D839F1}"/>
            <w:text/>
          </w:sdtPr>
          <w:sdtEndPr/>
          <w:sdtContent>
            <w:p w:rsidR="00384FCF" w:rsidRDefault="00384FCF">
              <w:pPr>
                <w:pStyle w:val="Header"/>
                <w:jc w:val="right"/>
              </w:pPr>
              <w:r>
                <w:rPr>
                  <w:rtl/>
                </w:rPr>
                <w:t>السنة الأولى ماستر     تخصص أدب عربي حديث ومعاصر</w:t>
              </w:r>
            </w:p>
          </w:sdtContent>
        </w:sdt>
        <w:sdt>
          <w:sdtPr>
            <w:rPr>
              <w:b/>
              <w:bCs/>
            </w:rPr>
            <w:alias w:val="Titre"/>
            <w:id w:val="78735415"/>
            <w:placeholder>
              <w:docPart w:val="6B60E4AF14ED4A71A07E5334C7FC5591"/>
            </w:placeholder>
            <w:dataBinding w:prefixMappings="xmlns:ns0='http://schemas.openxmlformats.org/package/2006/metadata/core-properties' xmlns:ns1='http://purl.org/dc/elements/1.1/'" w:xpath="/ns0:coreProperties[1]/ns1:title[1]" w:storeItemID="{6C3C8BC8-F283-45AE-878A-BAB7291924A1}"/>
            <w:text/>
          </w:sdtPr>
          <w:sdtEndPr/>
          <w:sdtContent>
            <w:p w:rsidR="00384FCF" w:rsidRDefault="00384FCF">
              <w:pPr>
                <w:pStyle w:val="Header"/>
                <w:jc w:val="right"/>
                <w:rPr>
                  <w:b/>
                  <w:bCs/>
                </w:rPr>
              </w:pPr>
              <w:r>
                <w:rPr>
                  <w:b/>
                  <w:bCs/>
                  <w:rtl/>
                </w:rPr>
                <w:t>المحاضرة  02   ال</w:t>
              </w:r>
              <w:r>
                <w:rPr>
                  <w:rFonts w:hint="cs"/>
                  <w:b/>
                  <w:bCs/>
                  <w:rtl/>
                </w:rPr>
                <w:t>رواية  العربية والتراث السردي العربي القديم</w:t>
              </w:r>
              <w:r>
                <w:rPr>
                  <w:b/>
                  <w:bCs/>
                  <w:rtl/>
                </w:rPr>
                <w:t>)</w:t>
              </w:r>
            </w:p>
          </w:sdtContent>
        </w:sdt>
      </w:tc>
      <w:tc>
        <w:tcPr>
          <w:tcW w:w="1152" w:type="dxa"/>
          <w:tcBorders>
            <w:left w:val="single" w:sz="6" w:space="0" w:color="000000" w:themeColor="text1"/>
          </w:tcBorders>
        </w:tcPr>
        <w:p w:rsidR="00384FCF" w:rsidRDefault="00806472">
          <w:pPr>
            <w:pStyle w:val="Header"/>
            <w:rPr>
              <w:b/>
            </w:rPr>
          </w:pPr>
          <w:r>
            <w:fldChar w:fldCharType="begin"/>
          </w:r>
          <w:r>
            <w:instrText xml:space="preserve"> PAGE   \* MERGEFORMAT </w:instrText>
          </w:r>
          <w:r>
            <w:fldChar w:fldCharType="separate"/>
          </w:r>
          <w:r w:rsidR="00B715A1">
            <w:rPr>
              <w:noProof/>
            </w:rPr>
            <w:t>1</w:t>
          </w:r>
          <w:r>
            <w:rPr>
              <w:noProof/>
            </w:rPr>
            <w:fldChar w:fldCharType="end"/>
          </w:r>
        </w:p>
      </w:tc>
    </w:tr>
  </w:tbl>
  <w:p w:rsidR="00384FCF" w:rsidRDefault="00384F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0"/>
    <w:rsid w:val="00000515"/>
    <w:rsid w:val="00051DE9"/>
    <w:rsid w:val="000A60B9"/>
    <w:rsid w:val="000B144C"/>
    <w:rsid w:val="000D29EC"/>
    <w:rsid w:val="00196AA3"/>
    <w:rsid w:val="001E389C"/>
    <w:rsid w:val="0021194E"/>
    <w:rsid w:val="00292D70"/>
    <w:rsid w:val="00293775"/>
    <w:rsid w:val="002C0D4D"/>
    <w:rsid w:val="00384FCF"/>
    <w:rsid w:val="003E63D5"/>
    <w:rsid w:val="004862DB"/>
    <w:rsid w:val="004A3DB2"/>
    <w:rsid w:val="00536E1C"/>
    <w:rsid w:val="00585106"/>
    <w:rsid w:val="006A6B53"/>
    <w:rsid w:val="00700FB3"/>
    <w:rsid w:val="00737740"/>
    <w:rsid w:val="007747C3"/>
    <w:rsid w:val="00806472"/>
    <w:rsid w:val="00884249"/>
    <w:rsid w:val="00924F26"/>
    <w:rsid w:val="009F7889"/>
    <w:rsid w:val="00A333BE"/>
    <w:rsid w:val="00A52C67"/>
    <w:rsid w:val="00A659E5"/>
    <w:rsid w:val="00B55F22"/>
    <w:rsid w:val="00B715A1"/>
    <w:rsid w:val="00B7545D"/>
    <w:rsid w:val="00BB7B28"/>
    <w:rsid w:val="00C62730"/>
    <w:rsid w:val="00D65EF0"/>
    <w:rsid w:val="00DC3B61"/>
    <w:rsid w:val="00E055F8"/>
    <w:rsid w:val="00E866E8"/>
    <w:rsid w:val="00E945B5"/>
    <w:rsid w:val="00EB03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C90795-E6EC-44CC-8C6A-056D4FB0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EF0"/>
    <w:pPr>
      <w:spacing w:after="0"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EF0"/>
    <w:pPr>
      <w:tabs>
        <w:tab w:val="center" w:pos="4536"/>
        <w:tab w:val="right" w:pos="9072"/>
      </w:tabs>
    </w:pPr>
  </w:style>
  <w:style w:type="character" w:customStyle="1" w:styleId="HeaderChar">
    <w:name w:val="Header Char"/>
    <w:basedOn w:val="DefaultParagraphFont"/>
    <w:link w:val="Header"/>
    <w:uiPriority w:val="99"/>
    <w:rsid w:val="00D65EF0"/>
    <w:rPr>
      <w:rFonts w:ascii="Times New Roman" w:eastAsia="Times New Roman" w:hAnsi="Times New Roman" w:cs="Times New Roman"/>
      <w:sz w:val="24"/>
      <w:szCs w:val="24"/>
      <w:lang w:eastAsia="fr-FR"/>
    </w:rPr>
  </w:style>
  <w:style w:type="table" w:styleId="TableGrid">
    <w:name w:val="Table Grid"/>
    <w:basedOn w:val="TableNormal"/>
    <w:uiPriority w:val="1"/>
    <w:rsid w:val="00D65EF0"/>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65EF0"/>
    <w:rPr>
      <w:rFonts w:ascii="Tahoma" w:hAnsi="Tahoma" w:cs="Tahoma"/>
      <w:sz w:val="16"/>
      <w:szCs w:val="16"/>
    </w:rPr>
  </w:style>
  <w:style w:type="character" w:customStyle="1" w:styleId="BalloonTextChar">
    <w:name w:val="Balloon Text Char"/>
    <w:basedOn w:val="DefaultParagraphFont"/>
    <w:link w:val="BalloonText"/>
    <w:uiPriority w:val="99"/>
    <w:semiHidden/>
    <w:rsid w:val="00D65EF0"/>
    <w:rPr>
      <w:rFonts w:ascii="Tahoma" w:eastAsia="Times New Roman" w:hAnsi="Tahoma" w:cs="Tahoma"/>
      <w:sz w:val="16"/>
      <w:szCs w:val="16"/>
      <w:lang w:eastAsia="fr-FR"/>
    </w:rPr>
  </w:style>
  <w:style w:type="paragraph" w:styleId="FootnoteText">
    <w:name w:val="footnote text"/>
    <w:basedOn w:val="Normal"/>
    <w:link w:val="FootnoteTextChar"/>
    <w:uiPriority w:val="99"/>
    <w:semiHidden/>
    <w:unhideWhenUsed/>
    <w:rsid w:val="000A60B9"/>
    <w:rPr>
      <w:sz w:val="20"/>
      <w:szCs w:val="20"/>
    </w:rPr>
  </w:style>
  <w:style w:type="character" w:customStyle="1" w:styleId="FootnoteTextChar">
    <w:name w:val="Footnote Text Char"/>
    <w:basedOn w:val="DefaultParagraphFont"/>
    <w:link w:val="FootnoteText"/>
    <w:uiPriority w:val="99"/>
    <w:semiHidden/>
    <w:rsid w:val="000A60B9"/>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sid w:val="000A60B9"/>
    <w:rPr>
      <w:vertAlign w:val="superscript"/>
    </w:rPr>
  </w:style>
  <w:style w:type="paragraph" w:styleId="Footer">
    <w:name w:val="footer"/>
    <w:basedOn w:val="Normal"/>
    <w:link w:val="FooterChar"/>
    <w:uiPriority w:val="99"/>
    <w:unhideWhenUsed/>
    <w:rsid w:val="0021194E"/>
    <w:pPr>
      <w:tabs>
        <w:tab w:val="center" w:pos="4536"/>
        <w:tab w:val="right" w:pos="9072"/>
      </w:tabs>
    </w:pPr>
  </w:style>
  <w:style w:type="character" w:customStyle="1" w:styleId="FooterChar">
    <w:name w:val="Footer Char"/>
    <w:basedOn w:val="DefaultParagraphFont"/>
    <w:link w:val="Footer"/>
    <w:uiPriority w:val="99"/>
    <w:rsid w:val="0021194E"/>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3A79CECB654FBA9B00D610DB378056"/>
        <w:category>
          <w:name w:val="Général"/>
          <w:gallery w:val="placeholder"/>
        </w:category>
        <w:types>
          <w:type w:val="bbPlcHdr"/>
        </w:types>
        <w:behaviors>
          <w:behavior w:val="content"/>
        </w:behaviors>
        <w:guid w:val="{E02BACA1-9B2F-42CE-9469-2EC98111AE2D}"/>
      </w:docPartPr>
      <w:docPartBody>
        <w:p w:rsidR="0012623B" w:rsidRDefault="006007C2" w:rsidP="006007C2">
          <w:pPr>
            <w:pStyle w:val="8B3A79CECB654FBA9B00D610DB378056"/>
          </w:pPr>
          <w:r>
            <w:t>[Tapez le nom de la société]</w:t>
          </w:r>
        </w:p>
      </w:docPartBody>
    </w:docPart>
    <w:docPart>
      <w:docPartPr>
        <w:name w:val="6B60E4AF14ED4A71A07E5334C7FC5591"/>
        <w:category>
          <w:name w:val="Général"/>
          <w:gallery w:val="placeholder"/>
        </w:category>
        <w:types>
          <w:type w:val="bbPlcHdr"/>
        </w:types>
        <w:behaviors>
          <w:behavior w:val="content"/>
        </w:behaviors>
        <w:guid w:val="{D8949421-DF6D-4296-B835-C569F04CABA3}"/>
      </w:docPartPr>
      <w:docPartBody>
        <w:p w:rsidR="0012623B" w:rsidRDefault="006007C2" w:rsidP="006007C2">
          <w:pPr>
            <w:pStyle w:val="6B60E4AF14ED4A71A07E5334C7FC5591"/>
          </w:pPr>
          <w:r>
            <w:rPr>
              <w:b/>
              <w:bCs/>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6007C2"/>
    <w:rsid w:val="0001657D"/>
    <w:rsid w:val="0012623B"/>
    <w:rsid w:val="00457C39"/>
    <w:rsid w:val="005A1A49"/>
    <w:rsid w:val="006007C2"/>
    <w:rsid w:val="006B3AB8"/>
    <w:rsid w:val="00996B0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B5B76ADCC74EB5A0531A8449EEAE4D">
    <w:name w:val="36B5B76ADCC74EB5A0531A8449EEAE4D"/>
    <w:rsid w:val="006007C2"/>
  </w:style>
  <w:style w:type="paragraph" w:customStyle="1" w:styleId="AA74EEA34557497188BC652F29A8F2FC">
    <w:name w:val="AA74EEA34557497188BC652F29A8F2FC"/>
    <w:rsid w:val="006007C2"/>
  </w:style>
  <w:style w:type="paragraph" w:customStyle="1" w:styleId="4090E6AD834F4B48AC8DD0450B34BEBD">
    <w:name w:val="4090E6AD834F4B48AC8DD0450B34BEBD"/>
    <w:rsid w:val="006007C2"/>
  </w:style>
  <w:style w:type="paragraph" w:customStyle="1" w:styleId="276D34B3F95F4AFD85E1CAA8C49FAD51">
    <w:name w:val="276D34B3F95F4AFD85E1CAA8C49FAD51"/>
    <w:rsid w:val="006007C2"/>
  </w:style>
  <w:style w:type="paragraph" w:customStyle="1" w:styleId="8B3A79CECB654FBA9B00D610DB378056">
    <w:name w:val="8B3A79CECB654FBA9B00D610DB378056"/>
    <w:rsid w:val="006007C2"/>
  </w:style>
  <w:style w:type="paragraph" w:customStyle="1" w:styleId="6B60E4AF14ED4A71A07E5334C7FC5591">
    <w:name w:val="6B60E4AF14ED4A71A07E5334C7FC5591"/>
    <w:rsid w:val="006007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0246B-728D-48A9-8E36-220FE028F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1385</Words>
  <Characters>7621</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المحاضرة  02   الرواية  العربية والتراث السردي العربي القديم)</vt:lpstr>
      <vt:lpstr>المحاضرة  02   الرواية  العربية والتراث السردي العربي القديم)</vt:lpstr>
    </vt:vector>
  </TitlesOfParts>
  <Company>السنة الأولى ماستر     تخصص أدب عربي حديث ومعاصر</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02   الرواية  العربية والتراث السردي العربي القديم)</dc:title>
  <dc:creator>DELL</dc:creator>
  <cp:lastModifiedBy>IDEAPAD</cp:lastModifiedBy>
  <cp:revision>2</cp:revision>
  <cp:lastPrinted>2023-02-27T06:04:00Z</cp:lastPrinted>
  <dcterms:created xsi:type="dcterms:W3CDTF">2025-04-13T15:06:00Z</dcterms:created>
  <dcterms:modified xsi:type="dcterms:W3CDTF">2025-04-13T15:06:00Z</dcterms:modified>
</cp:coreProperties>
</file>