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48" w:rsidRDefault="00761848" w:rsidP="00761848">
      <w:pPr>
        <w:shd w:val="clear" w:color="auto" w:fill="FFFFFF"/>
        <w:spacing w:after="0" w:line="456" w:lineRule="atLeast"/>
        <w:jc w:val="center"/>
        <w:textAlignment w:val="baseline"/>
        <w:rPr>
          <w:rFonts w:ascii="Helvetica" w:eastAsia="Times New Roman" w:hAnsi="Helvetica" w:cs="Helvetica"/>
          <w:b/>
          <w:bCs/>
          <w:color w:val="435B7E"/>
          <w:sz w:val="26"/>
          <w:szCs w:val="26"/>
          <w:bdr w:val="none" w:sz="0" w:space="0" w:color="auto" w:frame="1"/>
          <w:lang w:eastAsia="fr-FR"/>
        </w:rPr>
      </w:pPr>
      <w:bookmarkStart w:id="0" w:name="_GoBack"/>
      <w:bookmarkEnd w:id="0"/>
      <w:r w:rsidRPr="00761848">
        <w:rPr>
          <w:rFonts w:ascii="Helvetica" w:eastAsia="Times New Roman" w:hAnsi="Helvetica" w:cs="Helvetica"/>
          <w:b/>
          <w:bCs/>
          <w:color w:val="435B7E"/>
          <w:sz w:val="26"/>
          <w:szCs w:val="26"/>
          <w:bdr w:val="none" w:sz="0" w:space="0" w:color="auto" w:frame="1"/>
          <w:lang w:eastAsia="fr-FR"/>
        </w:rPr>
        <w:t xml:space="preserve">De l’économie d’endettement à l’économie de marché </w:t>
      </w:r>
    </w:p>
    <w:p w:rsidR="00761848" w:rsidRDefault="00761848" w:rsidP="00761848">
      <w:pPr>
        <w:shd w:val="clear" w:color="auto" w:fill="FFFFFF"/>
        <w:spacing w:after="0" w:line="456" w:lineRule="atLeast"/>
        <w:jc w:val="center"/>
        <w:textAlignment w:val="baseline"/>
        <w:rPr>
          <w:rFonts w:ascii="Helvetica" w:eastAsia="Times New Roman" w:hAnsi="Helvetica" w:cs="Helvetica"/>
          <w:b/>
          <w:bCs/>
          <w:color w:val="435B7E"/>
          <w:sz w:val="26"/>
          <w:szCs w:val="26"/>
          <w:bdr w:val="none" w:sz="0" w:space="0" w:color="auto" w:frame="1"/>
          <w:lang w:eastAsia="fr-FR"/>
        </w:rPr>
      </w:pP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Jusqu’à la fin des années 70, l</w:t>
      </w:r>
      <w:r>
        <w:rPr>
          <w:rFonts w:asciiTheme="majorBidi" w:eastAsia="Times New Roman" w:hAnsiTheme="majorBidi" w:cstheme="majorBidi"/>
          <w:color w:val="435B7E"/>
          <w:sz w:val="26"/>
          <w:szCs w:val="26"/>
          <w:lang w:eastAsia="fr-FR"/>
        </w:rPr>
        <w:t xml:space="preserve">a majorité des </w:t>
      </w:r>
      <w:r w:rsidRPr="00761848">
        <w:rPr>
          <w:rFonts w:asciiTheme="majorBidi" w:eastAsia="Times New Roman" w:hAnsiTheme="majorBidi" w:cstheme="majorBidi"/>
          <w:color w:val="435B7E"/>
          <w:sz w:val="26"/>
          <w:szCs w:val="26"/>
          <w:lang w:eastAsia="fr-FR"/>
        </w:rPr>
        <w:t>économie</w:t>
      </w:r>
      <w:r>
        <w:rPr>
          <w:rFonts w:asciiTheme="majorBidi" w:eastAsia="Times New Roman" w:hAnsiTheme="majorBidi" w:cstheme="majorBidi"/>
          <w:color w:val="435B7E"/>
          <w:sz w:val="26"/>
          <w:szCs w:val="26"/>
          <w:lang w:eastAsia="fr-FR"/>
        </w:rPr>
        <w:t>s</w:t>
      </w:r>
      <w:r w:rsidRPr="00761848">
        <w:rPr>
          <w:rFonts w:asciiTheme="majorBidi" w:eastAsia="Times New Roman" w:hAnsiTheme="majorBidi" w:cstheme="majorBidi"/>
          <w:color w:val="435B7E"/>
          <w:sz w:val="26"/>
          <w:szCs w:val="26"/>
          <w:lang w:eastAsia="fr-FR"/>
        </w:rPr>
        <w:t xml:space="preserve"> pouvai</w:t>
      </w:r>
      <w:r>
        <w:rPr>
          <w:rFonts w:asciiTheme="majorBidi" w:eastAsia="Times New Roman" w:hAnsiTheme="majorBidi" w:cstheme="majorBidi"/>
          <w:color w:val="435B7E"/>
          <w:sz w:val="26"/>
          <w:szCs w:val="26"/>
          <w:lang w:eastAsia="fr-FR"/>
        </w:rPr>
        <w:t>ent</w:t>
      </w:r>
      <w:r w:rsidRPr="00761848">
        <w:rPr>
          <w:rFonts w:asciiTheme="majorBidi" w:eastAsia="Times New Roman" w:hAnsiTheme="majorBidi" w:cstheme="majorBidi"/>
          <w:color w:val="435B7E"/>
          <w:sz w:val="26"/>
          <w:szCs w:val="26"/>
          <w:lang w:eastAsia="fr-FR"/>
        </w:rPr>
        <w:t xml:space="preserve"> être définie</w:t>
      </w:r>
      <w:r>
        <w:rPr>
          <w:rFonts w:asciiTheme="majorBidi" w:eastAsia="Times New Roman" w:hAnsiTheme="majorBidi" w:cstheme="majorBidi"/>
          <w:color w:val="435B7E"/>
          <w:sz w:val="26"/>
          <w:szCs w:val="26"/>
          <w:lang w:eastAsia="fr-FR"/>
        </w:rPr>
        <w:t>s</w:t>
      </w:r>
      <w:r w:rsidRPr="00761848">
        <w:rPr>
          <w:rFonts w:asciiTheme="majorBidi" w:eastAsia="Times New Roman" w:hAnsiTheme="majorBidi" w:cstheme="majorBidi"/>
          <w:color w:val="435B7E"/>
          <w:sz w:val="26"/>
          <w:szCs w:val="26"/>
          <w:lang w:eastAsia="fr-FR"/>
        </w:rPr>
        <w:t xml:space="preserve"> comme “</w:t>
      </w:r>
      <w:r>
        <w:rPr>
          <w:rFonts w:asciiTheme="majorBidi" w:eastAsia="Times New Roman" w:hAnsiTheme="majorBidi" w:cstheme="majorBidi"/>
          <w:color w:val="435B7E"/>
          <w:sz w:val="26"/>
          <w:szCs w:val="26"/>
          <w:lang w:eastAsia="fr-FR"/>
        </w:rPr>
        <w:t xml:space="preserve">des </w:t>
      </w:r>
      <w:r w:rsidRPr="00761848">
        <w:rPr>
          <w:rFonts w:asciiTheme="majorBidi" w:eastAsia="Times New Roman" w:hAnsiTheme="majorBidi" w:cstheme="majorBidi"/>
          <w:color w:val="435B7E"/>
          <w:sz w:val="26"/>
          <w:szCs w:val="26"/>
          <w:lang w:eastAsia="fr-FR"/>
        </w:rPr>
        <w:t>économie</w:t>
      </w:r>
      <w:r>
        <w:rPr>
          <w:rFonts w:asciiTheme="majorBidi" w:eastAsia="Times New Roman" w:hAnsiTheme="majorBidi" w:cstheme="majorBidi"/>
          <w:color w:val="435B7E"/>
          <w:sz w:val="26"/>
          <w:szCs w:val="26"/>
          <w:lang w:eastAsia="fr-FR"/>
        </w:rPr>
        <w:t>s</w:t>
      </w:r>
      <w:r w:rsidRPr="00761848">
        <w:rPr>
          <w:rFonts w:asciiTheme="majorBidi" w:eastAsia="Times New Roman" w:hAnsiTheme="majorBidi" w:cstheme="majorBidi"/>
          <w:color w:val="435B7E"/>
          <w:sz w:val="26"/>
          <w:szCs w:val="26"/>
          <w:lang w:eastAsia="fr-FR"/>
        </w:rPr>
        <w:t xml:space="preserve"> d’endettement” puisqu’elle</w:t>
      </w:r>
      <w:r>
        <w:rPr>
          <w:rFonts w:asciiTheme="majorBidi" w:eastAsia="Times New Roman" w:hAnsiTheme="majorBidi" w:cstheme="majorBidi"/>
          <w:color w:val="435B7E"/>
          <w:sz w:val="26"/>
          <w:szCs w:val="26"/>
          <w:lang w:eastAsia="fr-FR"/>
        </w:rPr>
        <w:t>s</w:t>
      </w:r>
      <w:r w:rsidRPr="00761848">
        <w:rPr>
          <w:rFonts w:asciiTheme="majorBidi" w:eastAsia="Times New Roman" w:hAnsiTheme="majorBidi" w:cstheme="majorBidi"/>
          <w:color w:val="435B7E"/>
          <w:sz w:val="26"/>
          <w:szCs w:val="26"/>
          <w:lang w:eastAsia="fr-FR"/>
        </w:rPr>
        <w:t xml:space="preserve"> étai</w:t>
      </w:r>
      <w:r>
        <w:rPr>
          <w:rFonts w:asciiTheme="majorBidi" w:eastAsia="Times New Roman" w:hAnsiTheme="majorBidi" w:cstheme="majorBidi"/>
          <w:color w:val="435B7E"/>
          <w:sz w:val="26"/>
          <w:szCs w:val="26"/>
          <w:lang w:eastAsia="fr-FR"/>
        </w:rPr>
        <w:t>en</w:t>
      </w:r>
      <w:r w:rsidRPr="00761848">
        <w:rPr>
          <w:rFonts w:asciiTheme="majorBidi" w:eastAsia="Times New Roman" w:hAnsiTheme="majorBidi" w:cstheme="majorBidi"/>
          <w:color w:val="435B7E"/>
          <w:sz w:val="26"/>
          <w:szCs w:val="26"/>
          <w:lang w:eastAsia="fr-FR"/>
        </w:rPr>
        <w:t>t financée</w:t>
      </w:r>
      <w:r>
        <w:rPr>
          <w:rFonts w:asciiTheme="majorBidi" w:eastAsia="Times New Roman" w:hAnsiTheme="majorBidi" w:cstheme="majorBidi"/>
          <w:color w:val="435B7E"/>
          <w:sz w:val="26"/>
          <w:szCs w:val="26"/>
          <w:lang w:eastAsia="fr-FR"/>
        </w:rPr>
        <w:t>s</w:t>
      </w:r>
      <w:r w:rsidRPr="00761848">
        <w:rPr>
          <w:rFonts w:asciiTheme="majorBidi" w:eastAsia="Times New Roman" w:hAnsiTheme="majorBidi" w:cstheme="majorBidi"/>
          <w:color w:val="435B7E"/>
          <w:sz w:val="26"/>
          <w:szCs w:val="26"/>
          <w:lang w:eastAsia="fr-FR"/>
        </w:rPr>
        <w:t xml:space="preserve"> essentiellement par des financements “</w:t>
      </w:r>
      <w:proofErr w:type="spellStart"/>
      <w:r w:rsidRPr="00761848">
        <w:rPr>
          <w:rFonts w:asciiTheme="majorBidi" w:eastAsia="Times New Roman" w:hAnsiTheme="majorBidi" w:cstheme="majorBidi"/>
          <w:color w:val="435B7E"/>
          <w:sz w:val="26"/>
          <w:szCs w:val="26"/>
          <w:lang w:eastAsia="fr-FR"/>
        </w:rPr>
        <w:t>intermédiés</w:t>
      </w:r>
      <w:proofErr w:type="spellEnd"/>
      <w:proofErr w:type="gramStart"/>
      <w:r w:rsidRPr="00761848">
        <w:rPr>
          <w:rFonts w:asciiTheme="majorBidi" w:eastAsia="Times New Roman" w:hAnsiTheme="majorBidi" w:cstheme="majorBidi"/>
          <w:color w:val="435B7E"/>
          <w:sz w:val="26"/>
          <w:szCs w:val="26"/>
          <w:lang w:eastAsia="fr-FR"/>
        </w:rPr>
        <w:t>”(</w:t>
      </w:r>
      <w:proofErr w:type="gramEnd"/>
      <w:r w:rsidRPr="00761848">
        <w:rPr>
          <w:rFonts w:asciiTheme="majorBidi" w:eastAsia="Times New Roman" w:hAnsiTheme="majorBidi" w:cstheme="majorBidi"/>
          <w:color w:val="435B7E"/>
          <w:sz w:val="26"/>
          <w:szCs w:val="26"/>
          <w:lang w:eastAsia="fr-FR"/>
        </w:rPr>
        <w:t>par l’intermédiaire des banques).</w:t>
      </w:r>
    </w:p>
    <w:p w:rsidR="00761848" w:rsidRPr="00761848" w:rsidRDefault="00761848" w:rsidP="00761848">
      <w:pPr>
        <w:shd w:val="clear" w:color="auto" w:fill="FFFFFF"/>
        <w:spacing w:before="120" w:after="120" w:line="324" w:lineRule="auto"/>
        <w:jc w:val="both"/>
        <w:textAlignment w:val="baseline"/>
        <w:outlineLvl w:val="1"/>
        <w:rPr>
          <w:rFonts w:asciiTheme="majorBidi" w:eastAsia="Times New Roman" w:hAnsiTheme="majorBidi" w:cstheme="majorBidi"/>
          <w:color w:val="102D57"/>
          <w:sz w:val="26"/>
          <w:szCs w:val="26"/>
          <w:lang w:eastAsia="fr-FR"/>
        </w:rPr>
      </w:pPr>
      <w:r w:rsidRPr="00761848">
        <w:rPr>
          <w:rFonts w:asciiTheme="majorBidi" w:eastAsia="Times New Roman" w:hAnsiTheme="majorBidi" w:cstheme="majorBidi"/>
          <w:color w:val="102D57"/>
          <w:sz w:val="26"/>
          <w:szCs w:val="26"/>
          <w:lang w:eastAsia="fr-FR"/>
        </w:rPr>
        <w:t>Une économie d’endettement</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b/>
          <w:bCs/>
          <w:color w:val="435B7E"/>
          <w:sz w:val="26"/>
          <w:szCs w:val="26"/>
          <w:bdr w:val="none" w:sz="0" w:space="0" w:color="auto" w:frame="1"/>
          <w:lang w:eastAsia="fr-FR"/>
        </w:rPr>
        <w:t>L’inconvénient majeur de l’économie d’endettement</w:t>
      </w:r>
      <w:r w:rsidRPr="00761848">
        <w:rPr>
          <w:rFonts w:asciiTheme="majorBidi" w:eastAsia="Times New Roman" w:hAnsiTheme="majorBidi" w:cstheme="majorBidi"/>
          <w:color w:val="435B7E"/>
          <w:sz w:val="26"/>
          <w:szCs w:val="26"/>
          <w:lang w:eastAsia="fr-FR"/>
        </w:rPr>
        <w:t xml:space="preserve"> était d’avoir été inflationniste : en effet, pour financer les investissements, la capacité d’épargne nationale a longtemps été insuffisante en </w:t>
      </w:r>
      <w:r>
        <w:rPr>
          <w:rFonts w:asciiTheme="majorBidi" w:eastAsia="Times New Roman" w:hAnsiTheme="majorBidi" w:cstheme="majorBidi"/>
          <w:color w:val="435B7E"/>
          <w:sz w:val="26"/>
          <w:szCs w:val="26"/>
          <w:lang w:eastAsia="fr-FR"/>
        </w:rPr>
        <w:t>France par exemple</w:t>
      </w:r>
      <w:r w:rsidRPr="00761848">
        <w:rPr>
          <w:rFonts w:asciiTheme="majorBidi" w:eastAsia="Times New Roman" w:hAnsiTheme="majorBidi" w:cstheme="majorBidi"/>
          <w:color w:val="435B7E"/>
          <w:sz w:val="26"/>
          <w:szCs w:val="26"/>
          <w:lang w:eastAsia="fr-FR"/>
        </w:rPr>
        <w:t>. L’endettement auprès du système bancaire a permis de la combler. Cela a entraîné deux conséquences :</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 d’une part, les entreprises, pour rembourser leurs dettes et pour payer leurs frais financiers, ont eu tendance à augmenter leurs prix</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 d’autre part, le financement du logement s’est opéré, en partie, par une création de monnaie encouragée par l’État</w:t>
      </w:r>
      <w:r>
        <w:rPr>
          <w:rFonts w:asciiTheme="majorBidi" w:eastAsia="Times New Roman" w:hAnsiTheme="majorBidi" w:cstheme="majorBidi"/>
          <w:color w:val="435B7E"/>
          <w:sz w:val="26"/>
          <w:szCs w:val="26"/>
          <w:lang w:eastAsia="fr-FR"/>
        </w:rPr>
        <w:t xml:space="preserve"> </w:t>
      </w:r>
      <w:r w:rsidRPr="00761848">
        <w:rPr>
          <w:rFonts w:asciiTheme="majorBidi" w:eastAsia="Times New Roman" w:hAnsiTheme="majorBidi" w:cstheme="majorBidi"/>
          <w:color w:val="435B7E"/>
          <w:sz w:val="26"/>
          <w:szCs w:val="26"/>
          <w:lang w:eastAsia="fr-FR"/>
        </w:rPr>
        <w:t>(accord de prêts à taux préférentiels), d’où un gonflement de la masse monétaire tendant à peser sur les prix.</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Cependant, ce </w:t>
      </w:r>
      <w:r w:rsidRPr="00761848">
        <w:rPr>
          <w:rFonts w:asciiTheme="majorBidi" w:eastAsia="Times New Roman" w:hAnsiTheme="majorBidi" w:cstheme="majorBidi"/>
          <w:b/>
          <w:bCs/>
          <w:color w:val="435B7E"/>
          <w:sz w:val="26"/>
          <w:szCs w:val="26"/>
          <w:bdr w:val="none" w:sz="0" w:space="0" w:color="auto" w:frame="1"/>
          <w:lang w:eastAsia="fr-FR"/>
        </w:rPr>
        <w:t>recours à l’inflation</w:t>
      </w:r>
      <w:r w:rsidRPr="00761848">
        <w:rPr>
          <w:rFonts w:asciiTheme="majorBidi" w:eastAsia="Times New Roman" w:hAnsiTheme="majorBidi" w:cstheme="majorBidi"/>
          <w:color w:val="435B7E"/>
          <w:sz w:val="26"/>
          <w:szCs w:val="26"/>
          <w:lang w:eastAsia="fr-FR"/>
        </w:rPr>
        <w:t> a eu au moins une conséquence heureuse : en allégeant le poids des dettes à rembourser, il a encouragé l’investissement, payé en quelque sorte grâce à l’inflation.</w:t>
      </w:r>
    </w:p>
    <w:p w:rsid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Mais l’inflation a des effets pervers sur la balance des échanges extérieurs, puisqu’elle provoque une baisse de la </w:t>
      </w:r>
      <w:r w:rsidRPr="00761848">
        <w:rPr>
          <w:rFonts w:asciiTheme="majorBidi" w:eastAsia="Times New Roman" w:hAnsiTheme="majorBidi" w:cstheme="majorBidi"/>
          <w:b/>
          <w:bCs/>
          <w:color w:val="435B7E"/>
          <w:sz w:val="26"/>
          <w:szCs w:val="26"/>
          <w:bdr w:val="none" w:sz="0" w:space="0" w:color="auto" w:frame="1"/>
          <w:lang w:eastAsia="fr-FR"/>
        </w:rPr>
        <w:t>demande externe</w:t>
      </w:r>
      <w:r w:rsidRPr="00761848">
        <w:rPr>
          <w:rFonts w:asciiTheme="majorBidi" w:eastAsia="Times New Roman" w:hAnsiTheme="majorBidi" w:cstheme="majorBidi"/>
          <w:color w:val="435B7E"/>
          <w:sz w:val="26"/>
          <w:szCs w:val="26"/>
          <w:lang w:eastAsia="fr-FR"/>
        </w:rPr>
        <w:t xml:space="preserve"> (baisse des exportations). </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 xml:space="preserve">De plus, l’inflation a tendance spontanément à s’accélérer : d’un rythme de 4 à 5% dans les années 60, </w:t>
      </w:r>
      <w:r>
        <w:rPr>
          <w:rFonts w:asciiTheme="majorBidi" w:eastAsia="Times New Roman" w:hAnsiTheme="majorBidi" w:cstheme="majorBidi"/>
          <w:color w:val="435B7E"/>
          <w:sz w:val="26"/>
          <w:szCs w:val="26"/>
          <w:lang w:eastAsia="fr-FR"/>
        </w:rPr>
        <w:t xml:space="preserve">elle passe à </w:t>
      </w:r>
      <w:r w:rsidRPr="00761848">
        <w:rPr>
          <w:rFonts w:asciiTheme="majorBidi" w:eastAsia="Times New Roman" w:hAnsiTheme="majorBidi" w:cstheme="majorBidi"/>
          <w:color w:val="435B7E"/>
          <w:sz w:val="26"/>
          <w:szCs w:val="26"/>
          <w:lang w:eastAsia="fr-FR"/>
        </w:rPr>
        <w:t>un rythme de 10 à 13,5 % au cours de la décennie 70.</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Il devenait difficile d’organiser la production sur des périodes longues avec une monnaie qui perdait de sa valeur de façon accélérée.</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En 1979, à Tokyo, lors d’une réunion du G7 (les 7 pays les plus riches de la planète), sous l’impulsion américaine, la </w:t>
      </w:r>
      <w:r w:rsidRPr="00761848">
        <w:rPr>
          <w:rFonts w:asciiTheme="majorBidi" w:eastAsia="Times New Roman" w:hAnsiTheme="majorBidi" w:cstheme="majorBidi"/>
          <w:b/>
          <w:bCs/>
          <w:color w:val="435B7E"/>
          <w:sz w:val="26"/>
          <w:szCs w:val="26"/>
          <w:bdr w:val="none" w:sz="0" w:space="0" w:color="auto" w:frame="1"/>
          <w:lang w:eastAsia="fr-FR"/>
        </w:rPr>
        <w:t>désinflation</w:t>
      </w:r>
      <w:r w:rsidRPr="00761848">
        <w:rPr>
          <w:rFonts w:asciiTheme="majorBidi" w:eastAsia="Times New Roman" w:hAnsiTheme="majorBidi" w:cstheme="majorBidi"/>
          <w:color w:val="435B7E"/>
          <w:sz w:val="26"/>
          <w:szCs w:val="26"/>
          <w:lang w:eastAsia="fr-FR"/>
        </w:rPr>
        <w:t> est devenu</w:t>
      </w:r>
      <w:r>
        <w:rPr>
          <w:rFonts w:asciiTheme="majorBidi" w:eastAsia="Times New Roman" w:hAnsiTheme="majorBidi" w:cstheme="majorBidi"/>
          <w:color w:val="435B7E"/>
          <w:sz w:val="26"/>
          <w:szCs w:val="26"/>
          <w:lang w:eastAsia="fr-FR"/>
        </w:rPr>
        <w:t>e</w:t>
      </w:r>
      <w:r w:rsidRPr="00761848">
        <w:rPr>
          <w:rFonts w:asciiTheme="majorBidi" w:eastAsia="Times New Roman" w:hAnsiTheme="majorBidi" w:cstheme="majorBidi"/>
          <w:color w:val="435B7E"/>
          <w:sz w:val="26"/>
          <w:szCs w:val="26"/>
          <w:lang w:eastAsia="fr-FR"/>
        </w:rPr>
        <w:t xml:space="preserve"> l’objectif premier de la politique économique des pays capitalistes industrialisés.</w:t>
      </w:r>
    </w:p>
    <w:p w:rsidR="00761848" w:rsidRPr="00761848" w:rsidRDefault="00761848" w:rsidP="00761848">
      <w:pPr>
        <w:shd w:val="clear" w:color="auto" w:fill="FFFFFF"/>
        <w:spacing w:before="120" w:after="120" w:line="324" w:lineRule="auto"/>
        <w:jc w:val="both"/>
        <w:textAlignment w:val="baseline"/>
        <w:outlineLvl w:val="1"/>
        <w:rPr>
          <w:rFonts w:asciiTheme="majorBidi" w:eastAsia="Times New Roman" w:hAnsiTheme="majorBidi" w:cstheme="majorBidi"/>
          <w:color w:val="102D57"/>
          <w:sz w:val="26"/>
          <w:szCs w:val="26"/>
          <w:lang w:eastAsia="fr-FR"/>
        </w:rPr>
      </w:pPr>
      <w:r w:rsidRPr="00761848">
        <w:rPr>
          <w:rFonts w:asciiTheme="majorBidi" w:eastAsia="Times New Roman" w:hAnsiTheme="majorBidi" w:cstheme="majorBidi"/>
          <w:b/>
          <w:bCs/>
          <w:color w:val="102D57"/>
          <w:sz w:val="26"/>
          <w:szCs w:val="26"/>
          <w:bdr w:val="none" w:sz="0" w:space="0" w:color="auto" w:frame="1"/>
          <w:lang w:eastAsia="fr-FR"/>
        </w:rPr>
        <w:t>Vers une économie de marché financier</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Le développement du marché financier et la hausse des profits permettent aux entreprises de recourir davantage à l’autofinancement et à l’émission d’actions et d’obligations.</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lastRenderedPageBreak/>
        <w:t>Au cours des années 80, la vie des entreprises a été marquée par une nette amélioration de leur situation financière : les bénéfices se sont redressés. La politique</w:t>
      </w:r>
      <w:r>
        <w:rPr>
          <w:rFonts w:asciiTheme="majorBidi" w:eastAsia="Times New Roman" w:hAnsiTheme="majorBidi" w:cstheme="majorBidi"/>
          <w:color w:val="435B7E"/>
          <w:sz w:val="26"/>
          <w:szCs w:val="26"/>
          <w:lang w:eastAsia="fr-FR"/>
        </w:rPr>
        <w:t xml:space="preserve"> de la monnaie forte </w:t>
      </w:r>
      <w:r w:rsidRPr="00761848">
        <w:rPr>
          <w:rFonts w:asciiTheme="majorBidi" w:eastAsia="Times New Roman" w:hAnsiTheme="majorBidi" w:cstheme="majorBidi"/>
          <w:color w:val="435B7E"/>
          <w:sz w:val="26"/>
          <w:szCs w:val="26"/>
          <w:lang w:eastAsia="fr-FR"/>
        </w:rPr>
        <w:t>consolidait les échanges des entreprises avec l’extérieur.</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Leur excellente situation financière leur permit de se désendetter, d’autofinancer une partie de plus en plus grande de leurs investissements et aussi d’accroître leurs placements financiers.</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A partir de 85, le recours à la Bourse pour compléter leur autofinancement l’emporte sur les emprunts à la Banque. Le financement dit “</w:t>
      </w:r>
      <w:proofErr w:type="spellStart"/>
      <w:r w:rsidRPr="00761848">
        <w:rPr>
          <w:rFonts w:asciiTheme="majorBidi" w:eastAsia="Times New Roman" w:hAnsiTheme="majorBidi" w:cstheme="majorBidi"/>
          <w:color w:val="435B7E"/>
          <w:sz w:val="26"/>
          <w:szCs w:val="26"/>
          <w:lang w:eastAsia="fr-FR"/>
        </w:rPr>
        <w:t>désintermédié</w:t>
      </w:r>
      <w:proofErr w:type="spellEnd"/>
      <w:proofErr w:type="gramStart"/>
      <w:r w:rsidRPr="00761848">
        <w:rPr>
          <w:rFonts w:asciiTheme="majorBidi" w:eastAsia="Times New Roman" w:hAnsiTheme="majorBidi" w:cstheme="majorBidi"/>
          <w:color w:val="435B7E"/>
          <w:sz w:val="26"/>
          <w:szCs w:val="26"/>
          <w:lang w:eastAsia="fr-FR"/>
        </w:rPr>
        <w:t>”(</w:t>
      </w:r>
      <w:proofErr w:type="gramEnd"/>
      <w:r w:rsidRPr="00761848">
        <w:rPr>
          <w:rFonts w:asciiTheme="majorBidi" w:eastAsia="Times New Roman" w:hAnsiTheme="majorBidi" w:cstheme="majorBidi"/>
          <w:color w:val="435B7E"/>
          <w:sz w:val="26"/>
          <w:szCs w:val="26"/>
          <w:lang w:eastAsia="fr-FR"/>
        </w:rPr>
        <w:t>sans intervention bancaire) grossit au fil des ans : le volume des actions et participations a quadruplé en dix ans.</w:t>
      </w:r>
    </w:p>
    <w:p w:rsidR="00761848" w:rsidRPr="00761848" w:rsidRDefault="00761848" w:rsidP="00761848">
      <w:pPr>
        <w:shd w:val="clear" w:color="auto" w:fill="FFFFFF"/>
        <w:spacing w:before="120" w:after="120" w:line="324" w:lineRule="auto"/>
        <w:jc w:val="both"/>
        <w:textAlignment w:val="baseline"/>
        <w:outlineLvl w:val="1"/>
        <w:rPr>
          <w:rFonts w:asciiTheme="majorBidi" w:eastAsia="Times New Roman" w:hAnsiTheme="majorBidi" w:cstheme="majorBidi"/>
          <w:color w:val="102D57"/>
          <w:sz w:val="26"/>
          <w:szCs w:val="26"/>
          <w:lang w:eastAsia="fr-FR"/>
        </w:rPr>
      </w:pPr>
      <w:r w:rsidRPr="00761848">
        <w:rPr>
          <w:rFonts w:asciiTheme="majorBidi" w:eastAsia="Times New Roman" w:hAnsiTheme="majorBidi" w:cstheme="majorBidi"/>
          <w:b/>
          <w:bCs/>
          <w:color w:val="102D57"/>
          <w:sz w:val="26"/>
          <w:szCs w:val="26"/>
          <w:bdr w:val="none" w:sz="0" w:space="0" w:color="auto" w:frame="1"/>
          <w:lang w:eastAsia="fr-FR"/>
        </w:rPr>
        <w:t>Une meilleure efficacité du système financier certes, mais aussi une plus grande vulnérabilité</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b/>
          <w:bCs/>
          <w:color w:val="435B7E"/>
          <w:sz w:val="26"/>
          <w:szCs w:val="26"/>
          <w:bdr w:val="none" w:sz="0" w:space="0" w:color="auto" w:frame="1"/>
          <w:lang w:eastAsia="fr-FR"/>
        </w:rPr>
        <w:t>Efficacité</w:t>
      </w:r>
      <w:r w:rsidRPr="00761848">
        <w:rPr>
          <w:rFonts w:asciiTheme="majorBidi" w:eastAsia="Times New Roman" w:hAnsiTheme="majorBidi" w:cstheme="majorBidi"/>
          <w:color w:val="435B7E"/>
          <w:sz w:val="26"/>
          <w:szCs w:val="26"/>
          <w:lang w:eastAsia="fr-FR"/>
        </w:rPr>
        <w:t> : le système financier français est désormais plus concurrentiel, plus souple et accessible, avec une réserve concernant les PME qui ne profitent pas beaucoup de cette “</w:t>
      </w:r>
      <w:proofErr w:type="spellStart"/>
      <w:r w:rsidRPr="00761848">
        <w:rPr>
          <w:rFonts w:asciiTheme="majorBidi" w:eastAsia="Times New Roman" w:hAnsiTheme="majorBidi" w:cstheme="majorBidi"/>
          <w:color w:val="435B7E"/>
          <w:sz w:val="26"/>
          <w:szCs w:val="26"/>
          <w:lang w:eastAsia="fr-FR"/>
        </w:rPr>
        <w:t>marchéisation</w:t>
      </w:r>
      <w:proofErr w:type="spellEnd"/>
      <w:proofErr w:type="gramStart"/>
      <w:r w:rsidRPr="00761848">
        <w:rPr>
          <w:rFonts w:asciiTheme="majorBidi" w:eastAsia="Times New Roman" w:hAnsiTheme="majorBidi" w:cstheme="majorBidi"/>
          <w:color w:val="435B7E"/>
          <w:sz w:val="26"/>
          <w:szCs w:val="26"/>
          <w:lang w:eastAsia="fr-FR"/>
        </w:rPr>
        <w:t>”(</w:t>
      </w:r>
      <w:proofErr w:type="gramEnd"/>
      <w:r w:rsidRPr="00761848">
        <w:rPr>
          <w:rFonts w:asciiTheme="majorBidi" w:eastAsia="Times New Roman" w:hAnsiTheme="majorBidi" w:cstheme="majorBidi"/>
          <w:color w:val="435B7E"/>
          <w:sz w:val="26"/>
          <w:szCs w:val="26"/>
          <w:lang w:eastAsia="fr-FR"/>
        </w:rPr>
        <w:t>fait de développer le financement par l’accès au marché) puisque très peu d’entre elles(environ 1%) peuvent accéder au marché des capitaux.</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b/>
          <w:bCs/>
          <w:color w:val="435B7E"/>
          <w:sz w:val="26"/>
          <w:szCs w:val="26"/>
          <w:bdr w:val="none" w:sz="0" w:space="0" w:color="auto" w:frame="1"/>
          <w:lang w:eastAsia="fr-FR"/>
        </w:rPr>
        <w:t>Vulnérabilité</w:t>
      </w:r>
      <w:r w:rsidRPr="00761848">
        <w:rPr>
          <w:rFonts w:asciiTheme="majorBidi" w:eastAsia="Times New Roman" w:hAnsiTheme="majorBidi" w:cstheme="majorBidi"/>
          <w:color w:val="435B7E"/>
          <w:sz w:val="26"/>
          <w:szCs w:val="26"/>
          <w:lang w:eastAsia="fr-FR"/>
        </w:rPr>
        <w:t xml:space="preserve"> : le risque principal était assuré auparavant par les banques ; dans le système actuel, ce sont les entreprises qui l’assument ? </w:t>
      </w:r>
      <w:proofErr w:type="gramStart"/>
      <w:r w:rsidRPr="00761848">
        <w:rPr>
          <w:rFonts w:asciiTheme="majorBidi" w:eastAsia="Times New Roman" w:hAnsiTheme="majorBidi" w:cstheme="majorBidi"/>
          <w:color w:val="435B7E"/>
          <w:sz w:val="26"/>
          <w:szCs w:val="26"/>
          <w:lang w:eastAsia="fr-FR"/>
        </w:rPr>
        <w:t>les</w:t>
      </w:r>
      <w:proofErr w:type="gramEnd"/>
      <w:r w:rsidRPr="00761848">
        <w:rPr>
          <w:rFonts w:asciiTheme="majorBidi" w:eastAsia="Times New Roman" w:hAnsiTheme="majorBidi" w:cstheme="majorBidi"/>
          <w:color w:val="435B7E"/>
          <w:sz w:val="26"/>
          <w:szCs w:val="26"/>
          <w:lang w:eastAsia="fr-FR"/>
        </w:rPr>
        <w:t xml:space="preserve"> banques ne peuvent plus amortir les chocs économiques et financiers.</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b/>
          <w:bCs/>
          <w:color w:val="435B7E"/>
          <w:sz w:val="26"/>
          <w:szCs w:val="26"/>
          <w:bdr w:val="none" w:sz="0" w:space="0" w:color="auto" w:frame="1"/>
          <w:lang w:eastAsia="fr-FR"/>
        </w:rPr>
        <w:t>Risque majeur</w:t>
      </w:r>
      <w:r w:rsidRPr="00761848">
        <w:rPr>
          <w:rFonts w:asciiTheme="majorBidi" w:eastAsia="Times New Roman" w:hAnsiTheme="majorBidi" w:cstheme="majorBidi"/>
          <w:color w:val="435B7E"/>
          <w:sz w:val="26"/>
          <w:szCs w:val="26"/>
          <w:lang w:eastAsia="fr-FR"/>
        </w:rPr>
        <w:t> : des effets économiques amplifiés à la suite de variations brutales des cours des valeurs mobilières sont à redouter.</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proofErr w:type="gramStart"/>
      <w:r w:rsidRPr="00761848">
        <w:rPr>
          <w:rFonts w:asciiTheme="majorBidi" w:eastAsia="Times New Roman" w:hAnsiTheme="majorBidi" w:cstheme="majorBidi"/>
          <w:b/>
          <w:bCs/>
          <w:color w:val="435B7E"/>
          <w:sz w:val="26"/>
          <w:szCs w:val="26"/>
          <w:bdr w:val="none" w:sz="0" w:space="0" w:color="auto" w:frame="1"/>
          <w:lang w:eastAsia="fr-FR"/>
        </w:rPr>
        <w:t>Causes</w:t>
      </w:r>
      <w:proofErr w:type="gramEnd"/>
      <w:r w:rsidRPr="00761848">
        <w:rPr>
          <w:rFonts w:asciiTheme="majorBidi" w:eastAsia="Times New Roman" w:hAnsiTheme="majorBidi" w:cstheme="majorBidi"/>
          <w:color w:val="435B7E"/>
          <w:sz w:val="26"/>
          <w:szCs w:val="26"/>
          <w:lang w:eastAsia="fr-FR"/>
        </w:rPr>
        <w:t> :</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 les </w:t>
      </w:r>
      <w:r w:rsidRPr="00761848">
        <w:rPr>
          <w:rFonts w:asciiTheme="majorBidi" w:eastAsia="Times New Roman" w:hAnsiTheme="majorBidi" w:cstheme="majorBidi"/>
          <w:i/>
          <w:iCs/>
          <w:color w:val="435B7E"/>
          <w:sz w:val="26"/>
          <w:szCs w:val="26"/>
          <w:bdr w:val="none" w:sz="0" w:space="0" w:color="auto" w:frame="1"/>
          <w:lang w:eastAsia="fr-FR"/>
        </w:rPr>
        <w:t>agents non financiers</w:t>
      </w:r>
      <w:r w:rsidRPr="00761848">
        <w:rPr>
          <w:rFonts w:asciiTheme="majorBidi" w:eastAsia="Times New Roman" w:hAnsiTheme="majorBidi" w:cstheme="majorBidi"/>
          <w:color w:val="435B7E"/>
          <w:sz w:val="26"/>
          <w:szCs w:val="26"/>
          <w:lang w:eastAsia="fr-FR"/>
        </w:rPr>
        <w:t> n’évaluent pas toujours les risques d’un financement avec la même prudence que les banques</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 dans un </w:t>
      </w:r>
      <w:r w:rsidRPr="00761848">
        <w:rPr>
          <w:rFonts w:asciiTheme="majorBidi" w:eastAsia="Times New Roman" w:hAnsiTheme="majorBidi" w:cstheme="majorBidi"/>
          <w:i/>
          <w:iCs/>
          <w:color w:val="435B7E"/>
          <w:sz w:val="26"/>
          <w:szCs w:val="26"/>
          <w:bdr w:val="none" w:sz="0" w:space="0" w:color="auto" w:frame="1"/>
          <w:lang w:eastAsia="fr-FR"/>
        </w:rPr>
        <w:t>marché unifié </w:t>
      </w:r>
      <w:r w:rsidRPr="00761848">
        <w:rPr>
          <w:rFonts w:asciiTheme="majorBidi" w:eastAsia="Times New Roman" w:hAnsiTheme="majorBidi" w:cstheme="majorBidi"/>
          <w:color w:val="435B7E"/>
          <w:sz w:val="26"/>
          <w:szCs w:val="26"/>
          <w:lang w:eastAsia="fr-FR"/>
        </w:rPr>
        <w:t>(les capitaux circulent sans contrainte), tous les compartiments communiquent, ce qui favorise la propagation des déséquilibres</w:t>
      </w:r>
    </w:p>
    <w:p w:rsidR="00761848" w:rsidRPr="00761848" w:rsidRDefault="00761848" w:rsidP="00761848">
      <w:pPr>
        <w:shd w:val="clear" w:color="auto" w:fill="FFFFFF"/>
        <w:spacing w:before="120" w:after="120" w:line="324" w:lineRule="auto"/>
        <w:jc w:val="both"/>
        <w:textAlignment w:val="baseline"/>
        <w:rPr>
          <w:rFonts w:asciiTheme="majorBidi" w:eastAsia="Times New Roman" w:hAnsiTheme="majorBidi" w:cstheme="majorBidi"/>
          <w:color w:val="435B7E"/>
          <w:sz w:val="26"/>
          <w:szCs w:val="26"/>
          <w:lang w:eastAsia="fr-FR"/>
        </w:rPr>
      </w:pPr>
      <w:r w:rsidRPr="00761848">
        <w:rPr>
          <w:rFonts w:asciiTheme="majorBidi" w:eastAsia="Times New Roman" w:hAnsiTheme="majorBidi" w:cstheme="majorBidi"/>
          <w:color w:val="435B7E"/>
          <w:sz w:val="26"/>
          <w:szCs w:val="26"/>
          <w:lang w:eastAsia="fr-FR"/>
        </w:rPr>
        <w:t>– le </w:t>
      </w:r>
      <w:r w:rsidRPr="00761848">
        <w:rPr>
          <w:rFonts w:asciiTheme="majorBidi" w:eastAsia="Times New Roman" w:hAnsiTheme="majorBidi" w:cstheme="majorBidi"/>
          <w:i/>
          <w:iCs/>
          <w:color w:val="435B7E"/>
          <w:sz w:val="26"/>
          <w:szCs w:val="26"/>
          <w:bdr w:val="none" w:sz="0" w:space="0" w:color="auto" w:frame="1"/>
          <w:lang w:eastAsia="fr-FR"/>
        </w:rPr>
        <w:t>manque de fonds propres</w:t>
      </w:r>
      <w:r w:rsidRPr="00761848">
        <w:rPr>
          <w:rFonts w:asciiTheme="majorBidi" w:eastAsia="Times New Roman" w:hAnsiTheme="majorBidi" w:cstheme="majorBidi"/>
          <w:color w:val="435B7E"/>
          <w:sz w:val="26"/>
          <w:szCs w:val="26"/>
          <w:lang w:eastAsia="fr-FR"/>
        </w:rPr>
        <w:t> des banques françaises (handicap traditionnel) se double aujourd’hui d’une inquiétante dégradation de leurs résultats (les entreprises faisant davantage appel au marché financier lorsqu’elles ont besoin de fonds) ce qui les amène à s’engager sur des opérations de plus en plus risquées.</w:t>
      </w:r>
    </w:p>
    <w:p w:rsidR="00172E91" w:rsidRDefault="00172E91"/>
    <w:sectPr w:rsidR="00172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A8"/>
    <w:rsid w:val="00006FFB"/>
    <w:rsid w:val="00172E91"/>
    <w:rsid w:val="006C6164"/>
    <w:rsid w:val="00761848"/>
    <w:rsid w:val="00B232E8"/>
    <w:rsid w:val="00D543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75797-A31A-4A57-A1A0-950F49A7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618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184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618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1848"/>
    <w:rPr>
      <w:b/>
      <w:bCs/>
    </w:rPr>
  </w:style>
  <w:style w:type="character" w:styleId="Accentuation">
    <w:name w:val="Emphasis"/>
    <w:basedOn w:val="Policepardfaut"/>
    <w:uiPriority w:val="20"/>
    <w:qFormat/>
    <w:rsid w:val="00761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MC</dc:creator>
  <cp:keywords/>
  <dc:description/>
  <cp:lastModifiedBy>PC MC</cp:lastModifiedBy>
  <cp:revision>2</cp:revision>
  <dcterms:created xsi:type="dcterms:W3CDTF">2023-02-24T08:08:00Z</dcterms:created>
  <dcterms:modified xsi:type="dcterms:W3CDTF">2023-02-24T08:08:00Z</dcterms:modified>
</cp:coreProperties>
</file>