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11" w:rsidRPr="00F739A9" w:rsidRDefault="009F3711" w:rsidP="003464CD">
      <w:pPr>
        <w:tabs>
          <w:tab w:val="left" w:pos="3725"/>
        </w:tabs>
        <w:spacing w:before="240" w:line="276" w:lineRule="auto"/>
        <w:ind w:right="282"/>
        <w:rPr>
          <w:rFonts w:ascii="Arial" w:hAnsi="Arial" w:cs="Arial"/>
          <w:b/>
          <w:iCs/>
        </w:rPr>
      </w:pPr>
      <w:r w:rsidRPr="00F739A9">
        <w:rPr>
          <w:rFonts w:ascii="Arial" w:hAnsi="Arial" w:cs="Arial"/>
          <w:b/>
          <w:iCs/>
        </w:rPr>
        <w:t>Intitulé du Master : Biotechnologie microbienne</w:t>
      </w:r>
    </w:p>
    <w:p w:rsidR="009F3711" w:rsidRPr="00AE1D26" w:rsidRDefault="009F3711" w:rsidP="009F3711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 w:rsidRPr="0076746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3</w:t>
      </w:r>
    </w:p>
    <w:p w:rsidR="009F3711" w:rsidRDefault="009F3711" w:rsidP="009F3711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</w:rPr>
        <w:t>Intitulé de l’UE :</w:t>
      </w:r>
      <w:r>
        <w:rPr>
          <w:rFonts w:ascii="Arial" w:hAnsi="Arial" w:cs="Arial"/>
        </w:rPr>
        <w:t xml:space="preserve"> E</w:t>
      </w:r>
      <w:r w:rsidRPr="003E175A">
        <w:rPr>
          <w:rFonts w:ascii="Arial" w:hAnsi="Arial" w:cs="Arial"/>
        </w:rPr>
        <w:t>xpression génique</w:t>
      </w:r>
      <w:r>
        <w:rPr>
          <w:rFonts w:ascii="Arial" w:hAnsi="Arial" w:cs="Arial"/>
        </w:rPr>
        <w:t xml:space="preserve"> et interactions moléculaires</w:t>
      </w:r>
    </w:p>
    <w:p w:rsidR="009F3711" w:rsidRDefault="009F3711" w:rsidP="009F3711">
      <w:pPr>
        <w:rPr>
          <w:rFonts w:ascii="Arial" w:hAnsi="Arial" w:cs="Arial"/>
        </w:rPr>
      </w:pPr>
      <w:r w:rsidRPr="00AE1D26">
        <w:rPr>
          <w:rFonts w:ascii="Arial" w:hAnsi="Arial" w:cs="Arial"/>
          <w:b/>
          <w:iCs/>
        </w:rPr>
        <w:t xml:space="preserve">Intitulé de la matière : </w:t>
      </w:r>
      <w:r>
        <w:rPr>
          <w:rFonts w:ascii="Arial" w:hAnsi="Arial" w:cs="Arial"/>
        </w:rPr>
        <w:t>E</w:t>
      </w:r>
      <w:r w:rsidRPr="003E175A">
        <w:rPr>
          <w:rFonts w:ascii="Arial" w:hAnsi="Arial" w:cs="Arial"/>
        </w:rPr>
        <w:t>xpression génique</w:t>
      </w:r>
      <w:r>
        <w:rPr>
          <w:rFonts w:ascii="Arial" w:hAnsi="Arial" w:cs="Arial"/>
        </w:rPr>
        <w:t xml:space="preserve"> et interactions moléculaires</w:t>
      </w:r>
    </w:p>
    <w:p w:rsidR="009F3711" w:rsidRPr="00872E60" w:rsidRDefault="009F3711" w:rsidP="009F3711">
      <w:pPr>
        <w:spacing w:line="276" w:lineRule="auto"/>
        <w:ind w:right="282"/>
        <w:rPr>
          <w:rFonts w:ascii="Arial" w:hAnsi="Arial" w:cs="Arial"/>
          <w:b/>
          <w:iCs/>
        </w:rPr>
      </w:pPr>
      <w:r w:rsidRPr="00872E60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4</w:t>
      </w:r>
    </w:p>
    <w:p w:rsidR="009F3711" w:rsidRPr="00AE1D26" w:rsidRDefault="009F3711" w:rsidP="009F3711">
      <w:pPr>
        <w:spacing w:line="276" w:lineRule="auto"/>
        <w:ind w:right="282"/>
        <w:rPr>
          <w:rFonts w:ascii="Arial" w:hAnsi="Arial" w:cs="Arial"/>
          <w:b/>
          <w:iCs/>
        </w:rPr>
      </w:pPr>
      <w:r w:rsidRPr="00872E60">
        <w:rPr>
          <w:rFonts w:ascii="Arial" w:hAnsi="Arial" w:cs="Arial"/>
          <w:b/>
          <w:iCs/>
        </w:rPr>
        <w:t xml:space="preserve">Coefficients : </w:t>
      </w:r>
      <w:r>
        <w:rPr>
          <w:rFonts w:ascii="Arial" w:hAnsi="Arial" w:cs="Arial"/>
          <w:b/>
          <w:iCs/>
        </w:rPr>
        <w:t>2</w:t>
      </w:r>
    </w:p>
    <w:p w:rsidR="009F3711" w:rsidRDefault="009F3711" w:rsidP="009F3711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9F3711" w:rsidRPr="00C609E8" w:rsidRDefault="009F3711" w:rsidP="009F3711">
      <w:pPr>
        <w:spacing w:after="160" w:line="259" w:lineRule="auto"/>
        <w:contextualSpacing/>
        <w:rPr>
          <w:rFonts w:ascii="Arial" w:eastAsia="Calibri" w:hAnsi="Arial" w:cs="Arial"/>
          <w:b/>
          <w:lang w:eastAsia="en-US"/>
        </w:rPr>
      </w:pPr>
      <w:r w:rsidRPr="00C609E8">
        <w:rPr>
          <w:rFonts w:ascii="Arial" w:eastAsia="Calibri" w:hAnsi="Arial" w:cs="Arial"/>
          <w:b/>
          <w:lang w:eastAsia="en-US"/>
        </w:rPr>
        <w:t xml:space="preserve">Outils d’étude de l’expression génique </w:t>
      </w:r>
    </w:p>
    <w:p w:rsidR="009F3711" w:rsidRPr="00C609E8" w:rsidRDefault="009F3711" w:rsidP="009F3711">
      <w:pPr>
        <w:spacing w:after="160" w:line="259" w:lineRule="auto"/>
        <w:ind w:left="502"/>
        <w:contextualSpacing/>
        <w:rPr>
          <w:rFonts w:ascii="Arial" w:eastAsia="Calibri" w:hAnsi="Arial" w:cs="Arial"/>
          <w:bCs/>
          <w:lang w:eastAsia="en-US"/>
        </w:rPr>
      </w:pPr>
      <w:r w:rsidRPr="00C609E8">
        <w:rPr>
          <w:rFonts w:ascii="Arial" w:eastAsia="Calibri" w:hAnsi="Arial" w:cs="Arial"/>
          <w:bCs/>
          <w:lang w:eastAsia="en-US"/>
        </w:rPr>
        <w:t>-Puces à ADN</w:t>
      </w:r>
    </w:p>
    <w:p w:rsidR="009F3711" w:rsidRPr="00C609E8" w:rsidRDefault="009F3711" w:rsidP="009F3711">
      <w:pPr>
        <w:spacing w:after="160" w:line="259" w:lineRule="auto"/>
        <w:ind w:left="502"/>
        <w:contextualSpacing/>
        <w:rPr>
          <w:rFonts w:ascii="Arial" w:eastAsia="Calibri" w:hAnsi="Arial" w:cs="Arial"/>
          <w:b/>
          <w:lang w:eastAsia="en-US"/>
        </w:rPr>
      </w:pPr>
      <w:r w:rsidRPr="00C609E8">
        <w:rPr>
          <w:rFonts w:ascii="Arial" w:eastAsia="Calibri" w:hAnsi="Arial" w:cs="Arial"/>
          <w:lang w:eastAsia="en-US"/>
        </w:rPr>
        <w:t>-PCR quantitative en temps réel et PCR digitale</w:t>
      </w:r>
    </w:p>
    <w:p w:rsidR="009F3711" w:rsidRPr="00C609E8" w:rsidRDefault="009F3711" w:rsidP="009F3711">
      <w:pPr>
        <w:spacing w:after="160" w:line="259" w:lineRule="auto"/>
        <w:ind w:left="502"/>
        <w:contextualSpacing/>
        <w:rPr>
          <w:rFonts w:ascii="Arial" w:eastAsia="Calibri" w:hAnsi="Arial" w:cs="Arial"/>
          <w:lang w:eastAsia="en-US"/>
        </w:rPr>
      </w:pPr>
      <w:r w:rsidRPr="00C609E8">
        <w:rPr>
          <w:rFonts w:ascii="Arial" w:eastAsia="Calibri" w:hAnsi="Arial" w:cs="Arial"/>
          <w:lang w:eastAsia="en-US"/>
        </w:rPr>
        <w:t>-Dosage d’activité promotrice</w:t>
      </w:r>
    </w:p>
    <w:p w:rsidR="009F3711" w:rsidRPr="00C609E8" w:rsidRDefault="009F3711" w:rsidP="009F3711">
      <w:pPr>
        <w:spacing w:after="160" w:line="259" w:lineRule="auto"/>
        <w:ind w:left="502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C609E8">
        <w:rPr>
          <w:rFonts w:ascii="Arial" w:eastAsia="Calibri" w:hAnsi="Arial" w:cs="Arial"/>
          <w:lang w:eastAsia="en-US"/>
        </w:rPr>
        <w:t>-</w:t>
      </w:r>
      <w:proofErr w:type="spellStart"/>
      <w:r w:rsidRPr="00C609E8">
        <w:rPr>
          <w:rFonts w:ascii="Arial" w:eastAsia="Calibri" w:hAnsi="Arial" w:cs="Arial"/>
          <w:lang w:eastAsia="en-US"/>
        </w:rPr>
        <w:t>Northern</w:t>
      </w:r>
      <w:proofErr w:type="spellEnd"/>
      <w:r w:rsidRPr="00C609E8">
        <w:rPr>
          <w:rFonts w:ascii="Arial" w:eastAsia="Calibri" w:hAnsi="Arial" w:cs="Arial"/>
          <w:lang w:eastAsia="en-US"/>
        </w:rPr>
        <w:t xml:space="preserve"> et </w:t>
      </w:r>
      <w:r w:rsidRPr="00780FAA">
        <w:rPr>
          <w:rFonts w:ascii="Arial" w:eastAsia="Calibri" w:hAnsi="Arial" w:cs="Arial"/>
          <w:lang w:eastAsia="en-US"/>
        </w:rPr>
        <w:t xml:space="preserve">Western </w:t>
      </w:r>
      <w:proofErr w:type="spellStart"/>
      <w:r w:rsidRPr="00780FAA">
        <w:rPr>
          <w:rFonts w:ascii="Arial" w:eastAsia="Calibri" w:hAnsi="Arial" w:cs="Arial"/>
          <w:lang w:eastAsia="en-US"/>
        </w:rPr>
        <w:t>blotting</w:t>
      </w:r>
      <w:proofErr w:type="spellEnd"/>
    </w:p>
    <w:p w:rsidR="009F3711" w:rsidRPr="00C609E8" w:rsidRDefault="009F3711" w:rsidP="009F3711">
      <w:pPr>
        <w:spacing w:after="160" w:line="259" w:lineRule="auto"/>
        <w:ind w:left="502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9F3711" w:rsidRPr="00C609E8" w:rsidRDefault="009F3711" w:rsidP="009F3711">
      <w:pPr>
        <w:spacing w:after="160" w:line="259" w:lineRule="auto"/>
        <w:contextualSpacing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Interactions moléculaires (</w:t>
      </w:r>
      <w:r w:rsidRPr="00C609E8">
        <w:rPr>
          <w:rFonts w:ascii="Arial" w:eastAsia="Calibri" w:hAnsi="Arial" w:cs="Arial"/>
          <w:b/>
          <w:lang w:eastAsia="en-US"/>
        </w:rPr>
        <w:t>protéines-protéines/ADN)</w:t>
      </w:r>
    </w:p>
    <w:p w:rsidR="009F3711" w:rsidRPr="00C609E8" w:rsidRDefault="009F3711" w:rsidP="009F3711">
      <w:pPr>
        <w:spacing w:after="160" w:line="259" w:lineRule="auto"/>
        <w:ind w:left="502"/>
        <w:contextualSpacing/>
        <w:rPr>
          <w:rFonts w:ascii="Arial" w:eastAsia="Calibri" w:hAnsi="Arial" w:cs="Arial"/>
          <w:b/>
          <w:lang w:eastAsia="en-US"/>
        </w:rPr>
      </w:pPr>
      <w:r w:rsidRPr="00C609E8">
        <w:rPr>
          <w:rFonts w:ascii="Arial" w:eastAsia="Calibri" w:hAnsi="Arial" w:cs="Arial"/>
          <w:lang w:eastAsia="en-US"/>
        </w:rPr>
        <w:t>-Double hybride</w:t>
      </w:r>
    </w:p>
    <w:p w:rsidR="009F3711" w:rsidRPr="00C609E8" w:rsidRDefault="009F3711" w:rsidP="009F3711">
      <w:pPr>
        <w:spacing w:after="160" w:line="259" w:lineRule="auto"/>
        <w:ind w:left="502"/>
        <w:contextualSpacing/>
        <w:rPr>
          <w:rFonts w:ascii="Arial" w:eastAsia="Calibri" w:hAnsi="Arial" w:cs="Arial"/>
          <w:b/>
          <w:lang w:eastAsia="en-US"/>
        </w:rPr>
      </w:pPr>
      <w:r w:rsidRPr="00C609E8">
        <w:rPr>
          <w:rFonts w:ascii="Arial" w:eastAsia="Calibri" w:hAnsi="Arial" w:cs="Arial"/>
          <w:lang w:eastAsia="en-US"/>
        </w:rPr>
        <w:t xml:space="preserve">- </w:t>
      </w:r>
      <w:proofErr w:type="spellStart"/>
      <w:r w:rsidRPr="005235E5">
        <w:rPr>
          <w:rFonts w:ascii="Arial" w:eastAsia="Calibri" w:hAnsi="Arial" w:cs="Arial"/>
          <w:lang w:eastAsia="en-US"/>
        </w:rPr>
        <w:t>Protein</w:t>
      </w:r>
      <w:proofErr w:type="spellEnd"/>
      <w:r w:rsidRPr="005235E5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235E5">
        <w:rPr>
          <w:rFonts w:ascii="Arial" w:eastAsia="Calibri" w:hAnsi="Arial" w:cs="Arial"/>
          <w:lang w:eastAsia="en-US"/>
        </w:rPr>
        <w:t>Complementation</w:t>
      </w:r>
      <w:proofErr w:type="spellEnd"/>
      <w:r w:rsidRPr="005235E5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235E5">
        <w:rPr>
          <w:rFonts w:ascii="Arial" w:eastAsia="Calibri" w:hAnsi="Arial" w:cs="Arial"/>
          <w:lang w:eastAsia="en-US"/>
        </w:rPr>
        <w:t>Assay</w:t>
      </w:r>
      <w:proofErr w:type="spellEnd"/>
      <w:r w:rsidRPr="005235E5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(</w:t>
      </w:r>
      <w:r w:rsidRPr="00C609E8">
        <w:rPr>
          <w:rFonts w:ascii="Arial" w:eastAsia="Calibri" w:hAnsi="Arial" w:cs="Arial"/>
          <w:lang w:eastAsia="en-US"/>
        </w:rPr>
        <w:t>PCA</w:t>
      </w:r>
      <w:r>
        <w:rPr>
          <w:rFonts w:ascii="Arial" w:eastAsia="Calibri" w:hAnsi="Arial" w:cs="Arial"/>
          <w:lang w:eastAsia="en-US"/>
        </w:rPr>
        <w:t xml:space="preserve">) </w:t>
      </w:r>
      <w:r w:rsidRPr="00C609E8">
        <w:rPr>
          <w:rFonts w:ascii="Arial" w:eastAsia="Calibri" w:hAnsi="Arial" w:cs="Arial"/>
          <w:lang w:eastAsia="en-US"/>
        </w:rPr>
        <w:t xml:space="preserve">et </w:t>
      </w:r>
      <w:r w:rsidRPr="005235E5">
        <w:rPr>
          <w:rFonts w:ascii="Arial" w:eastAsia="Calibri" w:hAnsi="Arial" w:cs="Arial"/>
          <w:lang w:eastAsia="en-US"/>
        </w:rPr>
        <w:t xml:space="preserve">Tandem </w:t>
      </w:r>
      <w:proofErr w:type="spellStart"/>
      <w:r w:rsidRPr="005235E5">
        <w:rPr>
          <w:rFonts w:ascii="Arial" w:eastAsia="Calibri" w:hAnsi="Arial" w:cs="Arial"/>
          <w:lang w:eastAsia="en-US"/>
        </w:rPr>
        <w:t>Affinity</w:t>
      </w:r>
      <w:proofErr w:type="spellEnd"/>
      <w:r w:rsidRPr="005235E5">
        <w:rPr>
          <w:rFonts w:ascii="Arial" w:eastAsia="Calibri" w:hAnsi="Arial" w:cs="Arial"/>
          <w:lang w:eastAsia="en-US"/>
        </w:rPr>
        <w:t xml:space="preserve"> Purification</w:t>
      </w:r>
      <w:r>
        <w:rPr>
          <w:rFonts w:ascii="Arial" w:eastAsia="Calibri" w:hAnsi="Arial" w:cs="Arial"/>
          <w:lang w:eastAsia="en-US"/>
        </w:rPr>
        <w:t xml:space="preserve"> (</w:t>
      </w:r>
      <w:r w:rsidRPr="00C609E8">
        <w:rPr>
          <w:rFonts w:ascii="Arial" w:eastAsia="Calibri" w:hAnsi="Arial" w:cs="Arial"/>
          <w:lang w:eastAsia="en-US"/>
        </w:rPr>
        <w:t>TAP-TAG</w:t>
      </w:r>
      <w:r>
        <w:rPr>
          <w:rFonts w:ascii="Arial" w:eastAsia="Calibri" w:hAnsi="Arial" w:cs="Arial"/>
          <w:lang w:eastAsia="en-US"/>
        </w:rPr>
        <w:t>)</w:t>
      </w:r>
    </w:p>
    <w:p w:rsidR="009F3711" w:rsidRPr="00C609E8" w:rsidRDefault="009F3711" w:rsidP="009F3711">
      <w:pPr>
        <w:spacing w:after="160" w:line="259" w:lineRule="auto"/>
        <w:ind w:left="502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609E8">
        <w:rPr>
          <w:rFonts w:ascii="Arial" w:eastAsia="Calibri" w:hAnsi="Arial" w:cs="Arial"/>
          <w:lang w:eastAsia="en-US"/>
        </w:rPr>
        <w:t>-Retard sur gel, empreintes sur gel.</w:t>
      </w:r>
    </w:p>
    <w:p w:rsidR="009F3711" w:rsidRPr="00C609E8" w:rsidRDefault="009F3711" w:rsidP="009F3711">
      <w:pPr>
        <w:spacing w:after="160" w:line="259" w:lineRule="auto"/>
        <w:ind w:left="502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F3711" w:rsidRPr="00C609E8" w:rsidRDefault="009F3711" w:rsidP="009F3711">
      <w:pPr>
        <w:spacing w:after="160" w:line="259" w:lineRule="auto"/>
        <w:contextualSpacing/>
        <w:rPr>
          <w:rFonts w:ascii="Arial" w:eastAsia="Calibri" w:hAnsi="Arial" w:cs="Arial"/>
          <w:b/>
          <w:lang w:val="en-GB" w:eastAsia="en-US"/>
        </w:rPr>
      </w:pPr>
      <w:r w:rsidRPr="00C609E8">
        <w:rPr>
          <w:rFonts w:ascii="Arial" w:eastAsia="Calibri" w:hAnsi="Arial" w:cs="Arial"/>
          <w:b/>
          <w:lang w:eastAsia="en-US"/>
        </w:rPr>
        <w:t>Clonage</w:t>
      </w:r>
      <w:r w:rsidRPr="00C609E8">
        <w:rPr>
          <w:rFonts w:ascii="Arial" w:eastAsia="Calibri" w:hAnsi="Arial" w:cs="Arial"/>
          <w:b/>
          <w:lang w:val="en-GB" w:eastAsia="en-US"/>
        </w:rPr>
        <w:t xml:space="preserve"> et </w:t>
      </w:r>
      <w:proofErr w:type="spellStart"/>
      <w:r w:rsidRPr="00C609E8">
        <w:rPr>
          <w:rFonts w:ascii="Arial" w:eastAsia="Calibri" w:hAnsi="Arial" w:cs="Arial"/>
          <w:b/>
          <w:lang w:val="en-GB" w:eastAsia="en-US"/>
        </w:rPr>
        <w:t>transgenèse</w:t>
      </w:r>
      <w:proofErr w:type="spellEnd"/>
      <w:r w:rsidRPr="00C609E8">
        <w:rPr>
          <w:rFonts w:ascii="Arial" w:eastAsia="Calibri" w:hAnsi="Arial" w:cs="Arial"/>
          <w:b/>
          <w:lang w:val="en-GB" w:eastAsia="en-US"/>
        </w:rPr>
        <w:t xml:space="preserve">: </w:t>
      </w:r>
    </w:p>
    <w:p w:rsidR="009F3711" w:rsidRPr="00C609E8" w:rsidRDefault="009F3711" w:rsidP="009F3711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 w:rsidRPr="00C609E8">
        <w:rPr>
          <w:rFonts w:ascii="Arial" w:eastAsia="Calibri" w:hAnsi="Arial" w:cs="Arial"/>
          <w:lang w:eastAsia="en-US"/>
        </w:rPr>
        <w:t xml:space="preserve">Les outils : enzymes de restrictions, </w:t>
      </w:r>
      <w:proofErr w:type="spellStart"/>
      <w:r w:rsidRPr="00C609E8">
        <w:rPr>
          <w:rFonts w:ascii="Arial" w:eastAsia="Calibri" w:hAnsi="Arial" w:cs="Arial"/>
          <w:lang w:eastAsia="en-US"/>
        </w:rPr>
        <w:t>Meganucléases</w:t>
      </w:r>
      <w:proofErr w:type="spellEnd"/>
      <w:r w:rsidRPr="00C609E8">
        <w:rPr>
          <w:rFonts w:ascii="Arial" w:eastAsia="Calibri" w:hAnsi="Arial" w:cs="Arial"/>
          <w:lang w:eastAsia="en-US"/>
        </w:rPr>
        <w:t>, système CRISPER et ligase.</w:t>
      </w:r>
    </w:p>
    <w:p w:rsidR="009F3711" w:rsidRPr="00C609E8" w:rsidRDefault="009F3711" w:rsidP="009F37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C609E8">
        <w:rPr>
          <w:rFonts w:ascii="Arial" w:eastAsia="Calibri" w:hAnsi="Arial" w:cs="Arial"/>
          <w:lang w:eastAsia="en-US"/>
        </w:rPr>
        <w:t>Les vecteurs</w:t>
      </w:r>
      <w:r w:rsidRPr="00C609E8">
        <w:rPr>
          <w:rFonts w:ascii="Arial" w:eastAsia="Calibri" w:hAnsi="Arial" w:cs="Arial"/>
          <w:color w:val="FF0000"/>
          <w:lang w:eastAsia="en-US"/>
        </w:rPr>
        <w:t> </w:t>
      </w:r>
    </w:p>
    <w:p w:rsidR="009F3711" w:rsidRPr="00C609E8" w:rsidRDefault="009F3711" w:rsidP="009F3711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 w:rsidRPr="00C609E8">
        <w:rPr>
          <w:rFonts w:ascii="Arial" w:eastAsia="Calibri" w:hAnsi="Arial" w:cs="Arial"/>
          <w:lang w:eastAsia="en-US"/>
        </w:rPr>
        <w:t xml:space="preserve">Clonage du gène d’intérêt </w:t>
      </w:r>
    </w:p>
    <w:p w:rsidR="009F3711" w:rsidRPr="00C609E8" w:rsidRDefault="009F3711" w:rsidP="009F371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 w:rsidRPr="00C609E8">
        <w:rPr>
          <w:rFonts w:ascii="Arial" w:eastAsia="Calibri" w:hAnsi="Arial" w:cs="Arial"/>
          <w:lang w:eastAsia="en-US"/>
        </w:rPr>
        <w:t xml:space="preserve">Transformation des bactéries  </w:t>
      </w:r>
    </w:p>
    <w:p w:rsidR="009F3711" w:rsidRPr="00C609E8" w:rsidRDefault="009F3711" w:rsidP="009F371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 w:rsidRPr="00C609E8">
        <w:rPr>
          <w:rFonts w:ascii="Arial" w:eastAsia="Calibri" w:hAnsi="Arial" w:cs="Arial"/>
          <w:lang w:eastAsia="en-US"/>
        </w:rPr>
        <w:t>Agents mutagènes  et mutagénèse aléatoire</w:t>
      </w:r>
    </w:p>
    <w:p w:rsidR="009F3711" w:rsidRPr="00C609E8" w:rsidRDefault="009F3711" w:rsidP="009F371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 w:rsidRPr="00C609E8">
        <w:rPr>
          <w:rFonts w:ascii="Arial" w:eastAsia="Calibri" w:hAnsi="Arial" w:cs="Arial"/>
          <w:lang w:eastAsia="en-US"/>
        </w:rPr>
        <w:t xml:space="preserve">Mutagénèse dirigée </w:t>
      </w:r>
    </w:p>
    <w:p w:rsidR="009F3711" w:rsidRPr="00C609E8" w:rsidRDefault="009F3711" w:rsidP="009F3711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 w:rsidRPr="00C609E8">
        <w:rPr>
          <w:rFonts w:ascii="Arial" w:eastAsia="Calibri" w:hAnsi="Arial" w:cs="Arial"/>
          <w:lang w:eastAsia="en-US"/>
        </w:rPr>
        <w:t xml:space="preserve">Vérification de l’expression </w:t>
      </w:r>
    </w:p>
    <w:p w:rsidR="009F3711" w:rsidRPr="00C609E8" w:rsidRDefault="009F3711" w:rsidP="009F3711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9F3711" w:rsidRPr="00C609E8" w:rsidRDefault="009F3711" w:rsidP="009F3711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</w:rPr>
      </w:pPr>
      <w:r w:rsidRPr="00C609E8">
        <w:rPr>
          <w:rFonts w:ascii="Arial" w:hAnsi="Arial" w:cs="Arial"/>
          <w:b/>
          <w:iCs/>
        </w:rPr>
        <w:t>Travaux dirigés</w:t>
      </w:r>
    </w:p>
    <w:p w:rsidR="009F3711" w:rsidRPr="00C609E8" w:rsidRDefault="009F3711" w:rsidP="009F3711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</w:rPr>
      </w:pPr>
    </w:p>
    <w:p w:rsidR="009F3711" w:rsidRPr="00C609E8" w:rsidRDefault="009F3711" w:rsidP="009F3711">
      <w:pPr>
        <w:rPr>
          <w:rFonts w:ascii="Arial" w:hAnsi="Arial" w:cs="Arial"/>
        </w:rPr>
      </w:pPr>
      <w:r w:rsidRPr="00C609E8">
        <w:rPr>
          <w:rFonts w:ascii="Arial" w:hAnsi="Arial" w:cs="Arial"/>
          <w:b/>
          <w:bCs/>
        </w:rPr>
        <w:t xml:space="preserve">TD N°1 </w:t>
      </w:r>
      <w:r w:rsidRPr="00C609E8">
        <w:rPr>
          <w:rFonts w:ascii="Arial" w:hAnsi="Arial" w:cs="Arial"/>
        </w:rPr>
        <w:t>Exemple d’application de puces à ADN : Analyse de résultats</w:t>
      </w:r>
    </w:p>
    <w:p w:rsidR="009F3711" w:rsidRPr="00C609E8" w:rsidRDefault="009F3711" w:rsidP="009F3711">
      <w:pPr>
        <w:spacing w:line="360" w:lineRule="auto"/>
        <w:jc w:val="both"/>
        <w:rPr>
          <w:rFonts w:ascii="Arial" w:hAnsi="Arial" w:cs="Arial"/>
        </w:rPr>
      </w:pPr>
      <w:r w:rsidRPr="00C609E8">
        <w:rPr>
          <w:rFonts w:ascii="Arial" w:hAnsi="Arial" w:cs="Arial"/>
          <w:b/>
          <w:bCs/>
        </w:rPr>
        <w:t>TDN°2 </w:t>
      </w:r>
      <w:r w:rsidRPr="00C609E8">
        <w:rPr>
          <w:rFonts w:ascii="Arial" w:hAnsi="Arial" w:cs="Arial"/>
        </w:rPr>
        <w:t>: Clonage : construction d’ADN recombinant et analyse par hybridation ou restriction</w:t>
      </w:r>
    </w:p>
    <w:p w:rsidR="009F3711" w:rsidRPr="00C609E8" w:rsidRDefault="009F3711" w:rsidP="009F3711">
      <w:pPr>
        <w:spacing w:line="360" w:lineRule="auto"/>
        <w:jc w:val="both"/>
        <w:rPr>
          <w:rFonts w:ascii="Arial" w:hAnsi="Arial" w:cs="Arial"/>
        </w:rPr>
      </w:pPr>
      <w:r w:rsidRPr="00C609E8">
        <w:rPr>
          <w:rFonts w:ascii="Arial" w:hAnsi="Arial" w:cs="Arial"/>
          <w:b/>
          <w:bCs/>
        </w:rPr>
        <w:t>TD N° 3 :</w:t>
      </w:r>
      <w:r w:rsidRPr="00C609E8">
        <w:rPr>
          <w:rFonts w:ascii="Arial" w:hAnsi="Arial" w:cs="Arial"/>
        </w:rPr>
        <w:t xml:space="preserve"> Mutagénèse et construction de mutants.</w:t>
      </w:r>
    </w:p>
    <w:p w:rsidR="009F3711" w:rsidRPr="00C609E8" w:rsidRDefault="009F3711" w:rsidP="009F3711">
      <w:pPr>
        <w:rPr>
          <w:rFonts w:ascii="Arial" w:hAnsi="Arial" w:cs="Arial"/>
        </w:rPr>
      </w:pPr>
    </w:p>
    <w:p w:rsidR="009F3711" w:rsidRPr="00C609E8" w:rsidRDefault="009F3711" w:rsidP="009F3711">
      <w:pPr>
        <w:spacing w:line="360" w:lineRule="auto"/>
        <w:jc w:val="both"/>
        <w:rPr>
          <w:rFonts w:ascii="Arial" w:hAnsi="Arial" w:cs="Arial"/>
          <w:b/>
        </w:rPr>
      </w:pPr>
      <w:r w:rsidRPr="00C609E8">
        <w:rPr>
          <w:rFonts w:ascii="Arial" w:hAnsi="Arial" w:cs="Arial"/>
          <w:b/>
        </w:rPr>
        <w:t>Mode d’évaluation : </w:t>
      </w:r>
      <w:r w:rsidRPr="00C609E8">
        <w:rPr>
          <w:rFonts w:ascii="Arial" w:hAnsi="Arial" w:cs="Arial"/>
        </w:rPr>
        <w:t>Continu, Examen</w:t>
      </w:r>
    </w:p>
    <w:p w:rsidR="009F3711" w:rsidRPr="00C609E8" w:rsidRDefault="009F3711" w:rsidP="009F3711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9F3711" w:rsidRPr="00C609E8" w:rsidRDefault="009F3711" w:rsidP="009F3711">
      <w:pPr>
        <w:spacing w:line="276" w:lineRule="auto"/>
        <w:jc w:val="both"/>
        <w:rPr>
          <w:rFonts w:ascii="Arial" w:hAnsi="Arial" w:cs="Arial"/>
          <w:b/>
        </w:rPr>
      </w:pPr>
      <w:r w:rsidRPr="00C609E8">
        <w:rPr>
          <w:rFonts w:ascii="Arial" w:hAnsi="Arial" w:cs="Arial"/>
          <w:b/>
        </w:rPr>
        <w:t xml:space="preserve">Références : </w:t>
      </w:r>
      <w:hyperlink r:id="rId5" w:history="1">
        <w:r>
          <w:rPr>
            <w:rFonts w:ascii="Arial" w:hAnsi="Arial" w:cs="Arial"/>
            <w:b/>
            <w:color w:val="0000FF"/>
            <w:u w:val="single"/>
          </w:rPr>
          <w:t>www.univ-bejaia.dz</w:t>
        </w:r>
      </w:hyperlink>
      <w:r w:rsidRPr="00C609E8">
        <w:rPr>
          <w:rFonts w:ascii="Arial" w:hAnsi="Arial" w:cs="Arial"/>
        </w:rPr>
        <w:t>, SNDL</w:t>
      </w:r>
    </w:p>
    <w:p w:rsidR="009F3711" w:rsidRPr="00C609E8" w:rsidRDefault="009F3711" w:rsidP="009F3711">
      <w:pPr>
        <w:spacing w:line="276" w:lineRule="auto"/>
        <w:jc w:val="both"/>
        <w:rPr>
          <w:rFonts w:ascii="Arial" w:hAnsi="Arial" w:cs="Arial"/>
        </w:rPr>
      </w:pPr>
      <w:r w:rsidRPr="00C609E8">
        <w:rPr>
          <w:rFonts w:ascii="Arial" w:hAnsi="Arial" w:cs="Arial"/>
        </w:rPr>
        <w:t xml:space="preserve">Abonnement de la bibliothèque aux ressources électronique de l’éditeur </w:t>
      </w:r>
      <w:proofErr w:type="spellStart"/>
      <w:r w:rsidRPr="00C609E8">
        <w:rPr>
          <w:rFonts w:ascii="Arial" w:hAnsi="Arial" w:cs="Arial"/>
        </w:rPr>
        <w:t>elsevier</w:t>
      </w:r>
      <w:proofErr w:type="spellEnd"/>
      <w:r w:rsidRPr="00C609E8">
        <w:rPr>
          <w:rFonts w:ascii="Arial" w:hAnsi="Arial" w:cs="Arial"/>
        </w:rPr>
        <w:t> </w:t>
      </w:r>
      <w:proofErr w:type="gramStart"/>
      <w:r w:rsidRPr="00C609E8">
        <w:rPr>
          <w:rFonts w:ascii="Arial" w:hAnsi="Arial" w:cs="Arial"/>
        </w:rPr>
        <w:t>:www.sciencedirect.com</w:t>
      </w:r>
      <w:proofErr w:type="gramEnd"/>
      <w:r w:rsidRPr="00C609E8">
        <w:rPr>
          <w:rFonts w:ascii="Arial" w:hAnsi="Arial" w:cs="Arial"/>
        </w:rPr>
        <w:t xml:space="preserve">, </w:t>
      </w:r>
    </w:p>
    <w:p w:rsidR="00D36938" w:rsidRDefault="009F3711" w:rsidP="009F3711">
      <w:r w:rsidRPr="00C609E8">
        <w:rPr>
          <w:rFonts w:ascii="Arial" w:hAnsi="Arial" w:cs="Arial"/>
        </w:rPr>
        <w:t>La bibliothèque dispose de plusieurs ouvrages concernant la spécialité.</w:t>
      </w:r>
    </w:p>
    <w:sectPr w:rsidR="00D36938" w:rsidSect="00D3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4D99"/>
    <w:multiLevelType w:val="hybridMultilevel"/>
    <w:tmpl w:val="60E212D4"/>
    <w:lvl w:ilvl="0" w:tplc="5DEA52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64555"/>
    <w:multiLevelType w:val="hybridMultilevel"/>
    <w:tmpl w:val="21A2C5EE"/>
    <w:lvl w:ilvl="0" w:tplc="A2A28EFE">
      <w:numFmt w:val="bullet"/>
      <w:lvlText w:val="-"/>
      <w:lvlJc w:val="left"/>
      <w:pPr>
        <w:ind w:left="39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F3711"/>
    <w:rsid w:val="003464CD"/>
    <w:rsid w:val="00814CFD"/>
    <w:rsid w:val="00986237"/>
    <w:rsid w:val="009F3711"/>
    <w:rsid w:val="00D3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-bej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2020-12-27T11:48:00Z</dcterms:created>
  <dcterms:modified xsi:type="dcterms:W3CDTF">2020-12-27T11:48:00Z</dcterms:modified>
</cp:coreProperties>
</file>