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93" w:rsidRPr="00964156" w:rsidRDefault="003B45D2" w:rsidP="00DA5ACC">
      <w:pPr>
        <w:jc w:val="center"/>
        <w:rPr>
          <w:rFonts w:asciiTheme="majorBidi" w:hAnsiTheme="majorBidi" w:cstheme="majorBidi"/>
          <w:b/>
          <w:bCs/>
          <w:sz w:val="26"/>
          <w:szCs w:val="26"/>
          <w:lang w:bidi="ar-DZ"/>
        </w:rPr>
      </w:pPr>
      <w:r w:rsidRPr="00964156">
        <w:rPr>
          <w:rFonts w:asciiTheme="majorBidi" w:hAnsiTheme="majorBidi" w:cstheme="majorBidi"/>
          <w:b/>
          <w:bCs/>
          <w:sz w:val="26"/>
          <w:szCs w:val="26"/>
          <w:lang w:bidi="ar-DZ"/>
        </w:rPr>
        <w:t xml:space="preserve">Les différentes catégories des personnes vulnérables </w:t>
      </w:r>
    </w:p>
    <w:p w:rsidR="00964156" w:rsidRDefault="00964156" w:rsidP="00964156">
      <w:pPr>
        <w:pStyle w:val="Default"/>
        <w:jc w:val="both"/>
        <w:rPr>
          <w:rFonts w:asciiTheme="majorBidi" w:hAnsiTheme="majorBidi" w:cstheme="majorBidi"/>
          <w:b/>
          <w:bCs/>
          <w:lang w:bidi="ar-DZ"/>
        </w:rPr>
      </w:pPr>
    </w:p>
    <w:p w:rsidR="00964156" w:rsidRPr="00964156" w:rsidRDefault="00964156" w:rsidP="00964156">
      <w:pPr>
        <w:pStyle w:val="Default"/>
        <w:jc w:val="both"/>
        <w:rPr>
          <w:rFonts w:asciiTheme="majorBidi" w:hAnsiTheme="majorBidi" w:cstheme="majorBidi"/>
          <w:b/>
          <w:bCs/>
          <w:lang w:bidi="ar-DZ"/>
        </w:rPr>
      </w:pPr>
      <w:r w:rsidRPr="00964156">
        <w:rPr>
          <w:rFonts w:asciiTheme="majorBidi" w:hAnsiTheme="majorBidi" w:cstheme="majorBidi"/>
          <w:b/>
          <w:bCs/>
          <w:lang w:bidi="ar-DZ"/>
        </w:rPr>
        <w:t>Les aspects de la vulnérabilité</w:t>
      </w:r>
    </w:p>
    <w:p w:rsidR="00764133" w:rsidRDefault="00964156" w:rsidP="00764133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ab/>
      </w:r>
      <w:r w:rsidR="00764133" w:rsidRPr="006D72B7">
        <w:rPr>
          <w:rFonts w:asciiTheme="majorBidi" w:hAnsiTheme="majorBidi" w:cstheme="majorBidi"/>
          <w:color w:val="auto"/>
        </w:rPr>
        <w:t xml:space="preserve">La vulnérabilité́ </w:t>
      </w:r>
      <w:r w:rsidR="00764133">
        <w:rPr>
          <w:rFonts w:asciiTheme="majorBidi" w:hAnsiTheme="majorBidi" w:cstheme="majorBidi"/>
          <w:color w:val="auto"/>
        </w:rPr>
        <w:t xml:space="preserve">est </w:t>
      </w:r>
      <w:r w:rsidR="00764133" w:rsidRPr="006D72B7">
        <w:rPr>
          <w:rFonts w:asciiTheme="majorBidi" w:hAnsiTheme="majorBidi" w:cstheme="majorBidi"/>
          <w:color w:val="auto"/>
        </w:rPr>
        <w:t xml:space="preserve"> </w:t>
      </w:r>
      <w:r w:rsidR="00764133">
        <w:rPr>
          <w:rFonts w:asciiTheme="majorBidi" w:hAnsiTheme="majorBidi" w:cstheme="majorBidi"/>
          <w:color w:val="auto"/>
        </w:rPr>
        <w:t xml:space="preserve">aujourd’hui regardée </w:t>
      </w:r>
      <w:r w:rsidR="00764133" w:rsidRPr="006D72B7">
        <w:rPr>
          <w:rFonts w:asciiTheme="majorBidi" w:hAnsiTheme="majorBidi" w:cstheme="majorBidi"/>
          <w:color w:val="auto"/>
        </w:rPr>
        <w:t xml:space="preserve"> </w:t>
      </w:r>
      <w:r w:rsidR="00764133">
        <w:rPr>
          <w:rFonts w:asciiTheme="majorBidi" w:hAnsiTheme="majorBidi" w:cstheme="majorBidi"/>
          <w:color w:val="auto"/>
        </w:rPr>
        <w:t xml:space="preserve">comme une </w:t>
      </w:r>
      <w:r w:rsidR="00764133" w:rsidRPr="006D72B7">
        <w:rPr>
          <w:rFonts w:asciiTheme="majorBidi" w:hAnsiTheme="majorBidi" w:cstheme="majorBidi"/>
          <w:color w:val="auto"/>
        </w:rPr>
        <w:t>responsabilité́ individuelle</w:t>
      </w:r>
      <w:r w:rsidR="00764133">
        <w:rPr>
          <w:rFonts w:asciiTheme="majorBidi" w:hAnsiTheme="majorBidi" w:cstheme="majorBidi"/>
          <w:color w:val="auto"/>
        </w:rPr>
        <w:t>, alors qu’elle était  a</w:t>
      </w:r>
      <w:r w:rsidR="00764133" w:rsidRPr="006D72B7">
        <w:rPr>
          <w:rFonts w:asciiTheme="majorBidi" w:hAnsiTheme="majorBidi" w:cstheme="majorBidi"/>
          <w:color w:val="auto"/>
        </w:rPr>
        <w:t>utrefois perçue comme une problématique sociale collective</w:t>
      </w:r>
      <w:r w:rsidR="00764133">
        <w:rPr>
          <w:rFonts w:asciiTheme="majorBidi" w:hAnsiTheme="majorBidi" w:cstheme="majorBidi"/>
          <w:color w:val="auto"/>
        </w:rPr>
        <w:t>.</w:t>
      </w:r>
      <w:r w:rsidR="00764133" w:rsidRPr="006D72B7">
        <w:rPr>
          <w:rFonts w:asciiTheme="majorBidi" w:hAnsiTheme="majorBidi" w:cstheme="majorBidi"/>
          <w:color w:val="auto"/>
        </w:rPr>
        <w:t xml:space="preserve"> </w:t>
      </w:r>
    </w:p>
    <w:p w:rsidR="00D818AA" w:rsidRDefault="00D818AA" w:rsidP="00D818AA">
      <w:pPr>
        <w:pStyle w:val="Defaul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Les</w:t>
      </w:r>
      <w:r w:rsidRPr="006D72B7">
        <w:rPr>
          <w:rFonts w:asciiTheme="majorBidi" w:hAnsiTheme="majorBidi" w:cstheme="majorBidi"/>
        </w:rPr>
        <w:t xml:space="preserve"> individus </w:t>
      </w:r>
      <w:r>
        <w:rPr>
          <w:rFonts w:asciiTheme="majorBidi" w:hAnsiTheme="majorBidi" w:cstheme="majorBidi"/>
        </w:rPr>
        <w:t xml:space="preserve">font constamment face aux épreuves et aux évaluations </w:t>
      </w:r>
      <w:r w:rsidRPr="006D72B7">
        <w:rPr>
          <w:rFonts w:asciiTheme="majorBidi" w:hAnsiTheme="majorBidi" w:cstheme="majorBidi"/>
        </w:rPr>
        <w:t xml:space="preserve">auxquelles ils ne peuvent facilement répondre. </w:t>
      </w:r>
      <w:r>
        <w:rPr>
          <w:rFonts w:asciiTheme="majorBidi" w:hAnsiTheme="majorBidi" w:cstheme="majorBidi"/>
        </w:rPr>
        <w:t>Paradoxalement la société  place et classe ces citoyens faibles et vulnérables  comme des citoyens inaboutis,</w:t>
      </w:r>
      <w:r w:rsidRPr="00DD4D4F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parce qu‘ils ont été individuellement incapables </w:t>
      </w:r>
      <w:r w:rsidRPr="006D72B7">
        <w:rPr>
          <w:rFonts w:asciiTheme="majorBidi" w:hAnsiTheme="majorBidi" w:cstheme="majorBidi"/>
        </w:rPr>
        <w:t xml:space="preserve">à joindre </w:t>
      </w:r>
      <w:r>
        <w:rPr>
          <w:rFonts w:asciiTheme="majorBidi" w:hAnsiTheme="majorBidi" w:cstheme="majorBidi"/>
        </w:rPr>
        <w:t>les normes sociales ou l</w:t>
      </w:r>
      <w:r w:rsidRPr="006D72B7">
        <w:rPr>
          <w:rFonts w:asciiTheme="majorBidi" w:hAnsiTheme="majorBidi" w:cstheme="majorBidi"/>
        </w:rPr>
        <w:t xml:space="preserve">es idéaux sociaux, </w:t>
      </w:r>
      <w:r>
        <w:rPr>
          <w:rFonts w:asciiTheme="majorBidi" w:hAnsiTheme="majorBidi" w:cstheme="majorBidi"/>
        </w:rPr>
        <w:t xml:space="preserve"> (</w:t>
      </w:r>
      <w:r w:rsidRPr="006D72B7">
        <w:rPr>
          <w:rFonts w:asciiTheme="majorBidi" w:hAnsiTheme="majorBidi" w:cstheme="majorBidi"/>
        </w:rPr>
        <w:t xml:space="preserve">Soulet cité dans </w:t>
      </w:r>
      <w:proofErr w:type="spellStart"/>
      <w:r w:rsidRPr="006D72B7">
        <w:rPr>
          <w:rFonts w:asciiTheme="majorBidi" w:hAnsiTheme="majorBidi" w:cstheme="majorBidi"/>
        </w:rPr>
        <w:t>Mondou</w:t>
      </w:r>
      <w:proofErr w:type="spellEnd"/>
      <w:r w:rsidRPr="006D72B7">
        <w:rPr>
          <w:rFonts w:asciiTheme="majorBidi" w:hAnsiTheme="majorBidi" w:cstheme="majorBidi"/>
        </w:rPr>
        <w:t>-Labbé</w:t>
      </w:r>
      <w:r>
        <w:rPr>
          <w:rFonts w:asciiTheme="majorBidi" w:hAnsiTheme="majorBidi" w:cstheme="majorBidi"/>
        </w:rPr>
        <w:t>,2018).</w:t>
      </w:r>
      <w:r w:rsidRPr="00D818AA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Fassin</w:t>
      </w:r>
      <w:proofErr w:type="spellEnd"/>
      <w:r>
        <w:rPr>
          <w:rFonts w:asciiTheme="majorBidi" w:hAnsiTheme="majorBidi" w:cstheme="majorBidi"/>
        </w:rPr>
        <w:t xml:space="preserve">, cité par </w:t>
      </w:r>
      <w:r w:rsidRPr="006D72B7">
        <w:rPr>
          <w:rFonts w:asciiTheme="majorBidi" w:hAnsiTheme="majorBidi" w:cstheme="majorBidi"/>
        </w:rPr>
        <w:t>BOURDELAIS</w:t>
      </w:r>
      <w:r>
        <w:rPr>
          <w:rFonts w:asciiTheme="majorBidi" w:hAnsiTheme="majorBidi" w:cstheme="majorBidi"/>
        </w:rPr>
        <w:t xml:space="preserve">, (2005) dans son étude </w:t>
      </w:r>
      <w:r w:rsidRPr="006D72B7">
        <w:rPr>
          <w:rFonts w:asciiTheme="majorBidi" w:hAnsiTheme="majorBidi" w:cstheme="majorBidi"/>
        </w:rPr>
        <w:t xml:space="preserve"> de cas</w:t>
      </w:r>
      <w:r>
        <w:rPr>
          <w:rFonts w:asciiTheme="majorBidi" w:hAnsiTheme="majorBidi" w:cstheme="majorBidi"/>
        </w:rPr>
        <w:t xml:space="preserve"> explique</w:t>
      </w:r>
      <w:r w:rsidRPr="00AC678C">
        <w:rPr>
          <w:rFonts w:asciiTheme="majorBidi" w:hAnsiTheme="majorBidi" w:cstheme="majorBidi"/>
        </w:rPr>
        <w:t xml:space="preserve"> </w:t>
      </w:r>
      <w:r w:rsidRPr="006D72B7">
        <w:rPr>
          <w:rFonts w:asciiTheme="majorBidi" w:hAnsiTheme="majorBidi" w:cstheme="majorBidi"/>
        </w:rPr>
        <w:t>que la vulnérabilité</w:t>
      </w:r>
      <w:r>
        <w:rPr>
          <w:rFonts w:asciiTheme="majorBidi" w:hAnsiTheme="majorBidi" w:cstheme="majorBidi"/>
        </w:rPr>
        <w:t xml:space="preserve">, </w:t>
      </w:r>
      <w:r w:rsidRPr="006D72B7">
        <w:rPr>
          <w:rFonts w:asciiTheme="majorBidi" w:hAnsiTheme="majorBidi" w:cstheme="majorBidi"/>
        </w:rPr>
        <w:t>qui menace</w:t>
      </w:r>
      <w:r>
        <w:rPr>
          <w:rFonts w:asciiTheme="majorBidi" w:hAnsiTheme="majorBidi" w:cstheme="majorBidi"/>
        </w:rPr>
        <w:t xml:space="preserve"> par exemple  </w:t>
      </w:r>
      <w:r w:rsidRPr="006D72B7">
        <w:rPr>
          <w:rFonts w:asciiTheme="majorBidi" w:hAnsiTheme="majorBidi" w:cstheme="majorBidi"/>
        </w:rPr>
        <w:t>l’enfant et sa mère n’est pas de</w:t>
      </w:r>
      <w:r>
        <w:rPr>
          <w:rFonts w:asciiTheme="majorBidi" w:hAnsiTheme="majorBidi" w:cstheme="majorBidi"/>
        </w:rPr>
        <w:t xml:space="preserve"> </w:t>
      </w:r>
      <w:r w:rsidRPr="006D72B7">
        <w:rPr>
          <w:rFonts w:asciiTheme="majorBidi" w:hAnsiTheme="majorBidi" w:cstheme="majorBidi"/>
        </w:rPr>
        <w:t>leur fait</w:t>
      </w:r>
      <w:r>
        <w:rPr>
          <w:rFonts w:asciiTheme="majorBidi" w:hAnsiTheme="majorBidi" w:cstheme="majorBidi"/>
        </w:rPr>
        <w:t>,</w:t>
      </w:r>
      <w:r w:rsidRPr="006D72B7">
        <w:rPr>
          <w:rFonts w:asciiTheme="majorBidi" w:hAnsiTheme="majorBidi" w:cstheme="majorBidi"/>
        </w:rPr>
        <w:t xml:space="preserve"> mais dépend d</w:t>
      </w:r>
      <w:r>
        <w:rPr>
          <w:rFonts w:asciiTheme="majorBidi" w:hAnsiTheme="majorBidi" w:cstheme="majorBidi"/>
        </w:rPr>
        <w:t xml:space="preserve">e leur </w:t>
      </w:r>
      <w:r w:rsidRPr="006D72B7">
        <w:rPr>
          <w:rFonts w:asciiTheme="majorBidi" w:hAnsiTheme="majorBidi" w:cstheme="majorBidi"/>
        </w:rPr>
        <w:t>contexte social et</w:t>
      </w:r>
      <w:r>
        <w:rPr>
          <w:rFonts w:asciiTheme="majorBidi" w:hAnsiTheme="majorBidi" w:cstheme="majorBidi"/>
        </w:rPr>
        <w:t xml:space="preserve"> </w:t>
      </w:r>
      <w:r w:rsidRPr="006D72B7">
        <w:rPr>
          <w:rFonts w:asciiTheme="majorBidi" w:hAnsiTheme="majorBidi" w:cstheme="majorBidi"/>
        </w:rPr>
        <w:t xml:space="preserve">culturel. </w:t>
      </w:r>
      <w:r>
        <w:rPr>
          <w:rFonts w:asciiTheme="majorBidi" w:hAnsiTheme="majorBidi" w:cstheme="majorBidi"/>
        </w:rPr>
        <w:t xml:space="preserve"> A ce titre il est inconcevable que la société puisse se dérobe de son devoir d’assistance envers ces catégories d’êtres fragiles </w:t>
      </w:r>
      <w:r w:rsidRPr="006D72B7">
        <w:rPr>
          <w:rFonts w:asciiTheme="majorBidi" w:hAnsiTheme="majorBidi" w:cstheme="majorBidi"/>
        </w:rPr>
        <w:t>et sans défenses</w:t>
      </w:r>
      <w:r>
        <w:rPr>
          <w:rFonts w:asciiTheme="majorBidi" w:hAnsiTheme="majorBidi" w:cstheme="majorBidi"/>
        </w:rPr>
        <w:t xml:space="preserve"> : </w:t>
      </w:r>
      <w:r w:rsidRPr="006D72B7">
        <w:rPr>
          <w:rFonts w:asciiTheme="majorBidi" w:hAnsiTheme="majorBidi" w:cstheme="majorBidi"/>
        </w:rPr>
        <w:t>les nouveau-nés abandonnés,</w:t>
      </w:r>
      <w:r>
        <w:rPr>
          <w:rFonts w:asciiTheme="majorBidi" w:hAnsiTheme="majorBidi" w:cstheme="majorBidi"/>
        </w:rPr>
        <w:t xml:space="preserve"> les</w:t>
      </w:r>
      <w:r w:rsidRPr="006D72B7">
        <w:rPr>
          <w:rFonts w:asciiTheme="majorBidi" w:hAnsiTheme="majorBidi" w:cstheme="majorBidi"/>
        </w:rPr>
        <w:t xml:space="preserve"> femmes seules chargées</w:t>
      </w:r>
      <w:r>
        <w:rPr>
          <w:rFonts w:asciiTheme="majorBidi" w:hAnsiTheme="majorBidi" w:cstheme="majorBidi"/>
        </w:rPr>
        <w:t xml:space="preserve"> </w:t>
      </w:r>
      <w:r w:rsidRPr="006D72B7">
        <w:rPr>
          <w:rFonts w:asciiTheme="majorBidi" w:hAnsiTheme="majorBidi" w:cstheme="majorBidi"/>
        </w:rPr>
        <w:t xml:space="preserve">d’enfants, </w:t>
      </w:r>
      <w:r>
        <w:rPr>
          <w:rFonts w:asciiTheme="majorBidi" w:hAnsiTheme="majorBidi" w:cstheme="majorBidi"/>
        </w:rPr>
        <w:t xml:space="preserve">les </w:t>
      </w:r>
      <w:r w:rsidRPr="006D72B7">
        <w:rPr>
          <w:rFonts w:asciiTheme="majorBidi" w:hAnsiTheme="majorBidi" w:cstheme="majorBidi"/>
        </w:rPr>
        <w:t>vieillards ou à toute</w:t>
      </w:r>
      <w:r>
        <w:rPr>
          <w:rFonts w:asciiTheme="majorBidi" w:hAnsiTheme="majorBidi" w:cstheme="majorBidi"/>
        </w:rPr>
        <w:t xml:space="preserve"> </w:t>
      </w:r>
      <w:r w:rsidRPr="006D72B7">
        <w:rPr>
          <w:rFonts w:asciiTheme="majorBidi" w:hAnsiTheme="majorBidi" w:cstheme="majorBidi"/>
        </w:rPr>
        <w:t>personne qui ne peut plus gagner sa vie du</w:t>
      </w:r>
      <w:r>
        <w:rPr>
          <w:rFonts w:asciiTheme="majorBidi" w:hAnsiTheme="majorBidi" w:cstheme="majorBidi"/>
        </w:rPr>
        <w:t xml:space="preserve"> </w:t>
      </w:r>
      <w:r w:rsidRPr="006D72B7">
        <w:rPr>
          <w:rFonts w:asciiTheme="majorBidi" w:hAnsiTheme="majorBidi" w:cstheme="majorBidi"/>
        </w:rPr>
        <w:t>fait de ses handicaps physiques ou intellectuels</w:t>
      </w:r>
      <w:r>
        <w:rPr>
          <w:rFonts w:asciiTheme="majorBidi" w:hAnsiTheme="majorBidi" w:cstheme="majorBidi"/>
        </w:rPr>
        <w:t xml:space="preserve">,… </w:t>
      </w:r>
      <w:r w:rsidRPr="00D818AA">
        <w:rPr>
          <w:rFonts w:asciiTheme="majorBidi" w:hAnsiTheme="majorBidi" w:cstheme="majorBidi"/>
        </w:rPr>
        <w:t xml:space="preserve"> </w:t>
      </w:r>
    </w:p>
    <w:p w:rsidR="00D818AA" w:rsidRDefault="00D818AA" w:rsidP="00D818AA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</w:rPr>
        <w:tab/>
      </w:r>
      <w:r w:rsidRPr="006D72B7">
        <w:rPr>
          <w:rFonts w:asciiTheme="majorBidi" w:hAnsiTheme="majorBidi" w:cstheme="majorBidi"/>
        </w:rPr>
        <w:t xml:space="preserve">Roy cité dans </w:t>
      </w:r>
      <w:proofErr w:type="spellStart"/>
      <w:r w:rsidRPr="006D72B7">
        <w:rPr>
          <w:rFonts w:asciiTheme="majorBidi" w:hAnsiTheme="majorBidi" w:cstheme="majorBidi"/>
        </w:rPr>
        <w:t>Mondou</w:t>
      </w:r>
      <w:proofErr w:type="spellEnd"/>
      <w:r w:rsidRPr="006D72B7">
        <w:rPr>
          <w:rFonts w:asciiTheme="majorBidi" w:hAnsiTheme="majorBidi" w:cstheme="majorBidi"/>
        </w:rPr>
        <w:t>-Labbé</w:t>
      </w:r>
      <w:r>
        <w:rPr>
          <w:rFonts w:asciiTheme="majorBidi" w:hAnsiTheme="majorBidi" w:cstheme="majorBidi"/>
        </w:rPr>
        <w:t xml:space="preserve"> (2018) décrit l</w:t>
      </w:r>
      <w:r w:rsidRPr="006D72B7">
        <w:rPr>
          <w:rFonts w:asciiTheme="majorBidi" w:hAnsiTheme="majorBidi" w:cstheme="majorBidi"/>
          <w:color w:val="auto"/>
        </w:rPr>
        <w:t xml:space="preserve">es acteurs sociaux </w:t>
      </w:r>
      <w:r>
        <w:rPr>
          <w:rFonts w:asciiTheme="majorBidi" w:hAnsiTheme="majorBidi" w:cstheme="majorBidi"/>
          <w:color w:val="auto"/>
        </w:rPr>
        <w:t>vulnérables</w:t>
      </w:r>
      <w:r w:rsidRPr="006D72B7">
        <w:rPr>
          <w:rFonts w:asciiTheme="majorBidi" w:hAnsiTheme="majorBidi" w:cstheme="majorBidi"/>
          <w:color w:val="auto"/>
        </w:rPr>
        <w:t xml:space="preserve"> </w:t>
      </w:r>
      <w:r>
        <w:rPr>
          <w:rFonts w:asciiTheme="majorBidi" w:hAnsiTheme="majorBidi" w:cstheme="majorBidi"/>
          <w:color w:val="auto"/>
        </w:rPr>
        <w:t xml:space="preserve">comme individus </w:t>
      </w:r>
      <w:r w:rsidRPr="006D72B7">
        <w:rPr>
          <w:rFonts w:asciiTheme="majorBidi" w:hAnsiTheme="majorBidi" w:cstheme="majorBidi"/>
          <w:color w:val="auto"/>
        </w:rPr>
        <w:t>viv</w:t>
      </w:r>
      <w:r>
        <w:rPr>
          <w:rFonts w:asciiTheme="majorBidi" w:hAnsiTheme="majorBidi" w:cstheme="majorBidi"/>
          <w:color w:val="auto"/>
        </w:rPr>
        <w:t>a</w:t>
      </w:r>
      <w:r w:rsidRPr="006D72B7">
        <w:rPr>
          <w:rFonts w:asciiTheme="majorBidi" w:hAnsiTheme="majorBidi" w:cstheme="majorBidi"/>
          <w:color w:val="auto"/>
        </w:rPr>
        <w:t xml:space="preserve">nt souvent en dehors des espaces sociaux valorisés, </w:t>
      </w:r>
      <w:r>
        <w:rPr>
          <w:rFonts w:asciiTheme="majorBidi" w:hAnsiTheme="majorBidi" w:cstheme="majorBidi"/>
          <w:color w:val="auto"/>
        </w:rPr>
        <w:t>ils peinent</w:t>
      </w:r>
      <w:r w:rsidRPr="006D72B7">
        <w:rPr>
          <w:rFonts w:asciiTheme="majorBidi" w:hAnsiTheme="majorBidi" w:cstheme="majorBidi"/>
          <w:color w:val="auto"/>
        </w:rPr>
        <w:t xml:space="preserve"> </w:t>
      </w:r>
      <w:r>
        <w:rPr>
          <w:rFonts w:asciiTheme="majorBidi" w:hAnsiTheme="majorBidi" w:cstheme="majorBidi"/>
          <w:color w:val="auto"/>
        </w:rPr>
        <w:t xml:space="preserve">de ce fait, </w:t>
      </w:r>
      <w:r w:rsidRPr="006D72B7">
        <w:rPr>
          <w:rFonts w:asciiTheme="majorBidi" w:hAnsiTheme="majorBidi" w:cstheme="majorBidi"/>
          <w:color w:val="auto"/>
        </w:rPr>
        <w:t>à se réaliser face aux normes sociales dominantes.</w:t>
      </w:r>
    </w:p>
    <w:p w:rsidR="00D818AA" w:rsidRPr="00764133" w:rsidRDefault="00D818AA" w:rsidP="00D818AA">
      <w:pPr>
        <w:pStyle w:val="Default"/>
        <w:rPr>
          <w:rFonts w:asciiTheme="majorBidi" w:hAnsiTheme="majorBidi" w:cstheme="majorBidi"/>
          <w:color w:val="auto"/>
        </w:rPr>
      </w:pPr>
      <w:r>
        <w:rPr>
          <w:rFonts w:asciiTheme="majorBidi" w:hAnsiTheme="majorBidi" w:cstheme="majorBidi"/>
          <w:color w:val="auto"/>
        </w:rPr>
        <w:tab/>
        <w:t xml:space="preserve">La vulnérabilité s’inscrit dans une perspective </w:t>
      </w:r>
      <w:r w:rsidRPr="006D72B7">
        <w:rPr>
          <w:rFonts w:asciiTheme="majorBidi" w:hAnsiTheme="majorBidi" w:cstheme="majorBidi"/>
          <w:color w:val="auto"/>
        </w:rPr>
        <w:t>fondamentalement dynamique</w:t>
      </w:r>
      <w:r>
        <w:rPr>
          <w:rFonts w:asciiTheme="majorBidi" w:hAnsiTheme="majorBidi" w:cstheme="majorBidi"/>
          <w:color w:val="auto"/>
        </w:rPr>
        <w:t>, elle</w:t>
      </w:r>
      <w:r w:rsidRPr="006D72B7">
        <w:rPr>
          <w:rFonts w:asciiTheme="majorBidi" w:hAnsiTheme="majorBidi" w:cstheme="majorBidi"/>
          <w:color w:val="auto"/>
        </w:rPr>
        <w:t xml:space="preserve"> constitue en quelque sorte une </w:t>
      </w:r>
      <w:r w:rsidRPr="00DD4D4F">
        <w:rPr>
          <w:rFonts w:asciiTheme="majorBidi" w:hAnsiTheme="majorBidi" w:cstheme="majorBidi"/>
          <w:color w:val="auto"/>
        </w:rPr>
        <w:t xml:space="preserve">phase </w:t>
      </w:r>
      <w:r w:rsidRPr="006D72B7">
        <w:rPr>
          <w:rFonts w:asciiTheme="majorBidi" w:hAnsiTheme="majorBidi" w:cstheme="majorBidi"/>
          <w:color w:val="auto"/>
        </w:rPr>
        <w:t>potentielle dans les histoires de vie</w:t>
      </w:r>
      <w:r>
        <w:rPr>
          <w:rFonts w:asciiTheme="majorBidi" w:hAnsiTheme="majorBidi" w:cstheme="majorBidi"/>
          <w:color w:val="auto"/>
        </w:rPr>
        <w:t xml:space="preserve">, elle n’est pas un statut fatal, </w:t>
      </w:r>
      <w:r>
        <w:rPr>
          <w:rFonts w:asciiTheme="majorBidi" w:hAnsiTheme="majorBidi" w:cstheme="majorBidi"/>
        </w:rPr>
        <w:t>(</w:t>
      </w:r>
      <w:proofErr w:type="spellStart"/>
      <w:r w:rsidRPr="006D72B7">
        <w:rPr>
          <w:rFonts w:asciiTheme="majorBidi" w:hAnsiTheme="majorBidi" w:cstheme="majorBidi"/>
        </w:rPr>
        <w:t>Mondou</w:t>
      </w:r>
      <w:proofErr w:type="spellEnd"/>
      <w:r w:rsidRPr="006D72B7">
        <w:rPr>
          <w:rFonts w:asciiTheme="majorBidi" w:hAnsiTheme="majorBidi" w:cstheme="majorBidi"/>
        </w:rPr>
        <w:t>-Labbé</w:t>
      </w:r>
      <w:r>
        <w:rPr>
          <w:rFonts w:asciiTheme="majorBidi" w:hAnsiTheme="majorBidi" w:cstheme="majorBidi"/>
        </w:rPr>
        <w:t xml:space="preserve">, 2018).  </w:t>
      </w:r>
    </w:p>
    <w:p w:rsidR="00764133" w:rsidRDefault="00D818AA" w:rsidP="00764133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764133">
        <w:rPr>
          <w:rFonts w:asciiTheme="majorBidi" w:hAnsiTheme="majorBidi" w:cstheme="majorBidi"/>
          <w:sz w:val="24"/>
          <w:szCs w:val="24"/>
        </w:rPr>
        <w:t xml:space="preserve">La vulnérabilité est </w:t>
      </w:r>
      <w:r>
        <w:rPr>
          <w:rFonts w:asciiTheme="majorBidi" w:hAnsiTheme="majorBidi" w:cstheme="majorBidi"/>
          <w:sz w:val="24"/>
          <w:szCs w:val="24"/>
        </w:rPr>
        <w:t>vue</w:t>
      </w:r>
      <w:r w:rsidR="00764133">
        <w:rPr>
          <w:rFonts w:asciiTheme="majorBidi" w:hAnsiTheme="majorBidi" w:cstheme="majorBidi"/>
          <w:sz w:val="24"/>
          <w:szCs w:val="24"/>
        </w:rPr>
        <w:t xml:space="preserve"> comme une </w:t>
      </w:r>
      <w:r w:rsidR="00764133" w:rsidRPr="006D72B7">
        <w:rPr>
          <w:rFonts w:asciiTheme="majorBidi" w:hAnsiTheme="majorBidi" w:cstheme="majorBidi"/>
          <w:sz w:val="24"/>
          <w:szCs w:val="24"/>
        </w:rPr>
        <w:t xml:space="preserve">violence symbolique invisible perpétrée sur les populations défavorisées </w:t>
      </w:r>
      <w:r w:rsidR="00764133">
        <w:rPr>
          <w:rFonts w:asciiTheme="majorBidi" w:hAnsiTheme="majorBidi" w:cstheme="majorBidi"/>
          <w:sz w:val="24"/>
          <w:szCs w:val="24"/>
        </w:rPr>
        <w:t xml:space="preserve">qui s’abattrait </w:t>
      </w:r>
      <w:r w:rsidR="00764133" w:rsidRPr="006D72B7">
        <w:rPr>
          <w:rFonts w:asciiTheme="majorBidi" w:hAnsiTheme="majorBidi" w:cstheme="majorBidi"/>
          <w:sz w:val="24"/>
          <w:szCs w:val="24"/>
        </w:rPr>
        <w:t xml:space="preserve"> plus durement</w:t>
      </w:r>
      <w:r w:rsidR="00764133">
        <w:rPr>
          <w:rFonts w:asciiTheme="majorBidi" w:hAnsiTheme="majorBidi" w:cstheme="majorBidi"/>
          <w:sz w:val="24"/>
          <w:szCs w:val="24"/>
        </w:rPr>
        <w:t xml:space="preserve"> sur </w:t>
      </w:r>
      <w:r w:rsidR="00764133" w:rsidRPr="006D72B7">
        <w:rPr>
          <w:rFonts w:asciiTheme="majorBidi" w:hAnsiTheme="majorBidi" w:cstheme="majorBidi"/>
          <w:sz w:val="24"/>
          <w:szCs w:val="24"/>
        </w:rPr>
        <w:t xml:space="preserve"> les populations à risque, </w:t>
      </w:r>
      <w:r w:rsidR="00764133">
        <w:rPr>
          <w:rFonts w:asciiTheme="majorBidi" w:hAnsiTheme="majorBidi" w:cstheme="majorBidi"/>
          <w:sz w:val="24"/>
          <w:szCs w:val="24"/>
        </w:rPr>
        <w:t xml:space="preserve">mais pourrait, tout de même, </w:t>
      </w:r>
      <w:r w:rsidR="00764133" w:rsidRPr="006D72B7">
        <w:rPr>
          <w:rFonts w:asciiTheme="majorBidi" w:hAnsiTheme="majorBidi" w:cstheme="majorBidi"/>
          <w:sz w:val="24"/>
          <w:szCs w:val="24"/>
        </w:rPr>
        <w:t xml:space="preserve"> concerner tous les citoyens.</w:t>
      </w:r>
      <w:r w:rsidR="00764133">
        <w:rPr>
          <w:rFonts w:asciiTheme="majorBidi" w:hAnsiTheme="majorBidi" w:cstheme="majorBidi"/>
          <w:sz w:val="24"/>
          <w:szCs w:val="24"/>
        </w:rPr>
        <w:t xml:space="preserve"> L’</w:t>
      </w:r>
      <w:r w:rsidR="00764133" w:rsidRPr="006D72B7">
        <w:rPr>
          <w:rFonts w:asciiTheme="majorBidi" w:hAnsiTheme="majorBidi" w:cstheme="majorBidi"/>
          <w:sz w:val="24"/>
          <w:szCs w:val="24"/>
        </w:rPr>
        <w:t xml:space="preserve">autonomie </w:t>
      </w:r>
      <w:r w:rsidR="00764133">
        <w:rPr>
          <w:rFonts w:asciiTheme="majorBidi" w:hAnsiTheme="majorBidi" w:cstheme="majorBidi"/>
          <w:sz w:val="24"/>
          <w:szCs w:val="24"/>
        </w:rPr>
        <w:t xml:space="preserve">et la </w:t>
      </w:r>
      <w:r w:rsidR="00764133" w:rsidRPr="006D72B7">
        <w:rPr>
          <w:rFonts w:asciiTheme="majorBidi" w:hAnsiTheme="majorBidi" w:cstheme="majorBidi"/>
          <w:sz w:val="24"/>
          <w:szCs w:val="24"/>
        </w:rPr>
        <w:t>situation de vulnérabilité́</w:t>
      </w:r>
      <w:r w:rsidR="00764133" w:rsidRPr="00E868ED">
        <w:rPr>
          <w:rFonts w:asciiTheme="majorBidi" w:hAnsiTheme="majorBidi" w:cstheme="majorBidi"/>
          <w:sz w:val="24"/>
          <w:szCs w:val="24"/>
        </w:rPr>
        <w:t xml:space="preserve"> </w:t>
      </w:r>
      <w:r w:rsidR="00764133" w:rsidRPr="006D72B7">
        <w:rPr>
          <w:rFonts w:asciiTheme="majorBidi" w:hAnsiTheme="majorBidi" w:cstheme="majorBidi"/>
          <w:sz w:val="24"/>
          <w:szCs w:val="24"/>
        </w:rPr>
        <w:t xml:space="preserve">formeraient </w:t>
      </w:r>
      <w:r w:rsidR="00764133">
        <w:rPr>
          <w:rFonts w:asciiTheme="majorBidi" w:hAnsiTheme="majorBidi" w:cstheme="majorBidi"/>
          <w:sz w:val="24"/>
          <w:szCs w:val="24"/>
        </w:rPr>
        <w:t xml:space="preserve">donc les deux parties de </w:t>
      </w:r>
      <w:r w:rsidR="00764133" w:rsidRPr="006D72B7">
        <w:rPr>
          <w:rFonts w:asciiTheme="majorBidi" w:hAnsiTheme="majorBidi" w:cstheme="majorBidi"/>
          <w:sz w:val="24"/>
          <w:szCs w:val="24"/>
        </w:rPr>
        <w:t>l’équation menant à la violence symbolique. Châtel cité</w:t>
      </w:r>
      <w:r w:rsidR="00764133">
        <w:rPr>
          <w:rFonts w:asciiTheme="majorBidi" w:hAnsiTheme="majorBidi" w:cstheme="majorBidi"/>
          <w:sz w:val="24"/>
          <w:szCs w:val="24"/>
        </w:rPr>
        <w:t>e</w:t>
      </w:r>
      <w:r w:rsidR="00764133" w:rsidRPr="006D72B7">
        <w:rPr>
          <w:rFonts w:asciiTheme="majorBidi" w:hAnsiTheme="majorBidi" w:cstheme="majorBidi"/>
          <w:sz w:val="24"/>
          <w:szCs w:val="24"/>
        </w:rPr>
        <w:t xml:space="preserve"> dans </w:t>
      </w:r>
      <w:proofErr w:type="spellStart"/>
      <w:r w:rsidR="00764133" w:rsidRPr="006D72B7">
        <w:rPr>
          <w:rFonts w:asciiTheme="majorBidi" w:hAnsiTheme="majorBidi" w:cstheme="majorBidi"/>
          <w:sz w:val="24"/>
          <w:szCs w:val="24"/>
        </w:rPr>
        <w:t>Mondou</w:t>
      </w:r>
      <w:proofErr w:type="spellEnd"/>
      <w:r w:rsidR="00764133" w:rsidRPr="006D72B7">
        <w:rPr>
          <w:rFonts w:asciiTheme="majorBidi" w:hAnsiTheme="majorBidi" w:cstheme="majorBidi"/>
          <w:sz w:val="24"/>
          <w:szCs w:val="24"/>
        </w:rPr>
        <w:t>-Labbé</w:t>
      </w:r>
      <w:r w:rsidR="00764133">
        <w:rPr>
          <w:rFonts w:asciiTheme="majorBidi" w:hAnsiTheme="majorBidi" w:cstheme="majorBidi"/>
          <w:sz w:val="24"/>
          <w:szCs w:val="24"/>
        </w:rPr>
        <w:t xml:space="preserve"> L., 2018).</w:t>
      </w:r>
    </w:p>
    <w:p w:rsidR="00B20E24" w:rsidRPr="00D818AA" w:rsidRDefault="00764133" w:rsidP="00D818AA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 w:rsidR="00B20E24">
        <w:rPr>
          <w:rFonts w:asciiTheme="majorBidi" w:hAnsiTheme="majorBidi" w:cstheme="majorBidi"/>
          <w:sz w:val="24"/>
          <w:szCs w:val="24"/>
        </w:rPr>
        <w:t xml:space="preserve"> </w:t>
      </w:r>
    </w:p>
    <w:p w:rsidR="00DA5ACC" w:rsidRDefault="00964156" w:rsidP="00DA5ACC">
      <w:pPr>
        <w:pStyle w:val="Default"/>
        <w:rPr>
          <w:rFonts w:asciiTheme="majorBidi" w:hAnsiTheme="majorBidi" w:cstheme="majorBidi"/>
          <w:lang w:bidi="ar-DZ"/>
        </w:rPr>
      </w:pPr>
      <w:r w:rsidRPr="00964156">
        <w:rPr>
          <w:rFonts w:asciiTheme="majorBidi" w:hAnsiTheme="majorBidi" w:cstheme="majorBidi"/>
          <w:b/>
          <w:bCs/>
        </w:rPr>
        <w:t>Identification des groupes vulnérables</w:t>
      </w:r>
      <w:r>
        <w:rPr>
          <w:rFonts w:asciiTheme="majorBidi" w:hAnsiTheme="majorBidi" w:cstheme="majorBidi"/>
        </w:rPr>
        <w:tab/>
      </w:r>
    </w:p>
    <w:p w:rsidR="001765AB" w:rsidRDefault="00DA5ACC" w:rsidP="00DA5ACC">
      <w:pPr>
        <w:pStyle w:val="Default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</w:rPr>
        <w:tab/>
      </w:r>
      <w:r w:rsidR="002013E3" w:rsidRPr="006D72B7">
        <w:rPr>
          <w:rFonts w:asciiTheme="majorBidi" w:hAnsiTheme="majorBidi" w:cstheme="majorBidi"/>
        </w:rPr>
        <w:t>L</w:t>
      </w:r>
      <w:r w:rsidR="002013E3">
        <w:rPr>
          <w:rFonts w:asciiTheme="majorBidi" w:hAnsiTheme="majorBidi" w:cstheme="majorBidi"/>
        </w:rPr>
        <w:t>es</w:t>
      </w:r>
      <w:r w:rsidR="002013E3" w:rsidRPr="006D72B7">
        <w:rPr>
          <w:rFonts w:asciiTheme="majorBidi" w:hAnsiTheme="majorBidi" w:cstheme="majorBidi"/>
        </w:rPr>
        <w:t xml:space="preserve"> groupes vulnérables </w:t>
      </w:r>
      <w:r w:rsidR="002013E3">
        <w:rPr>
          <w:rFonts w:asciiTheme="majorBidi" w:hAnsiTheme="majorBidi" w:cstheme="majorBidi"/>
        </w:rPr>
        <w:t xml:space="preserve">sont souvent </w:t>
      </w:r>
      <w:r w:rsidR="002013E3" w:rsidRPr="006D72B7">
        <w:rPr>
          <w:rFonts w:asciiTheme="majorBidi" w:hAnsiTheme="majorBidi" w:cstheme="majorBidi"/>
        </w:rPr>
        <w:t>énumér</w:t>
      </w:r>
      <w:r w:rsidR="002013E3">
        <w:rPr>
          <w:rFonts w:asciiTheme="majorBidi" w:hAnsiTheme="majorBidi" w:cstheme="majorBidi"/>
        </w:rPr>
        <w:t xml:space="preserve">é sous forme de liste </w:t>
      </w:r>
      <w:r w:rsidR="002013E3" w:rsidRPr="006D72B7">
        <w:rPr>
          <w:rFonts w:asciiTheme="majorBidi" w:hAnsiTheme="majorBidi" w:cstheme="majorBidi"/>
        </w:rPr>
        <w:t>hétéroclite</w:t>
      </w:r>
      <w:r w:rsidR="002013E3">
        <w:rPr>
          <w:rFonts w:asciiTheme="majorBidi" w:hAnsiTheme="majorBidi" w:cstheme="majorBidi"/>
        </w:rPr>
        <w:t>, l</w:t>
      </w:r>
      <w:r w:rsidR="002013E3" w:rsidRPr="006D72B7">
        <w:rPr>
          <w:rFonts w:asciiTheme="majorBidi" w:hAnsiTheme="majorBidi" w:cstheme="majorBidi"/>
        </w:rPr>
        <w:t xml:space="preserve">es enfants, les femmes, </w:t>
      </w:r>
      <w:r w:rsidR="002013E3">
        <w:rPr>
          <w:rFonts w:asciiTheme="majorBidi" w:hAnsiTheme="majorBidi" w:cstheme="majorBidi"/>
        </w:rPr>
        <w:t xml:space="preserve">les personnes âgés, </w:t>
      </w:r>
      <w:r>
        <w:rPr>
          <w:rFonts w:asciiTheme="majorBidi" w:hAnsiTheme="majorBidi" w:cstheme="majorBidi"/>
        </w:rPr>
        <w:t xml:space="preserve">les personnes malades, les précaires, les exclus, les immigrés et </w:t>
      </w:r>
      <w:r w:rsidR="002013E3" w:rsidRPr="006D72B7">
        <w:rPr>
          <w:rFonts w:asciiTheme="majorBidi" w:hAnsiTheme="majorBidi" w:cstheme="majorBidi"/>
        </w:rPr>
        <w:t xml:space="preserve">les populations aborigènes, </w:t>
      </w:r>
      <w:r w:rsidR="002013E3">
        <w:rPr>
          <w:rFonts w:asciiTheme="majorBidi" w:hAnsiTheme="majorBidi" w:cstheme="majorBidi"/>
        </w:rPr>
        <w:t xml:space="preserve">les </w:t>
      </w:r>
      <w:r w:rsidR="002013E3" w:rsidRPr="006D72B7">
        <w:rPr>
          <w:rFonts w:asciiTheme="majorBidi" w:hAnsiTheme="majorBidi" w:cstheme="majorBidi"/>
        </w:rPr>
        <w:t>paysans sans terre, les journaliers, les illettrés et les handicapés</w:t>
      </w:r>
      <w:r w:rsidR="002013E3">
        <w:rPr>
          <w:rFonts w:asciiTheme="majorBidi" w:hAnsiTheme="majorBidi" w:cstheme="majorBidi"/>
        </w:rPr>
        <w:t>,…</w:t>
      </w:r>
      <w:r w:rsidR="002013E3" w:rsidRPr="006D72B7">
        <w:rPr>
          <w:rFonts w:asciiTheme="majorBidi" w:hAnsiTheme="majorBidi" w:cstheme="majorBidi"/>
        </w:rPr>
        <w:t xml:space="preserve"> </w:t>
      </w:r>
      <w:r w:rsidR="002013E3">
        <w:rPr>
          <w:rFonts w:asciiTheme="majorBidi" w:hAnsiTheme="majorBidi" w:cstheme="majorBidi"/>
        </w:rPr>
        <w:t>On retrouve</w:t>
      </w:r>
      <w:r w:rsidR="002013E3" w:rsidRPr="00167D1E">
        <w:rPr>
          <w:rFonts w:asciiTheme="majorBidi" w:hAnsiTheme="majorBidi" w:cstheme="majorBidi"/>
        </w:rPr>
        <w:t xml:space="preserve"> </w:t>
      </w:r>
      <w:r w:rsidR="002013E3">
        <w:rPr>
          <w:rFonts w:asciiTheme="majorBidi" w:hAnsiTheme="majorBidi" w:cstheme="majorBidi"/>
        </w:rPr>
        <w:t xml:space="preserve">ainsi </w:t>
      </w:r>
      <w:r w:rsidR="002013E3" w:rsidRPr="006D72B7">
        <w:rPr>
          <w:rFonts w:asciiTheme="majorBidi" w:hAnsiTheme="majorBidi" w:cstheme="majorBidi"/>
        </w:rPr>
        <w:t>des groupes physiologiquement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ou physiquement fragiles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(les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enfants et les handicapés), des groupes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économiquement démunis (paysans sans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terre et journaliers), mais aussi les illettrés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qui cumulent ce handicap culturel et un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niveau économique en général très bas,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ainsi que les femmes, souvent victimes de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violences et plus mal rémunérées</w:t>
      </w:r>
      <w:r w:rsidR="002013E3">
        <w:rPr>
          <w:rFonts w:asciiTheme="majorBidi" w:hAnsiTheme="majorBidi" w:cstheme="majorBidi"/>
        </w:rPr>
        <w:t>;</w:t>
      </w:r>
      <w:r w:rsidR="002013E3" w:rsidRPr="006D72B7">
        <w:rPr>
          <w:rFonts w:asciiTheme="majorBidi" w:hAnsiTheme="majorBidi" w:cstheme="majorBidi"/>
        </w:rPr>
        <w:t xml:space="preserve"> les populations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aborigènes sont citées, confrontées aux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maladies importées, à la pression économique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et aux changements de leurs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conditions de vie et d’environnement. La vulnérabilité des personnes est rarement</w:t>
      </w:r>
      <w:r w:rsidR="002013E3">
        <w:rPr>
          <w:rFonts w:asciiTheme="majorBidi" w:hAnsiTheme="majorBidi" w:cstheme="majorBidi"/>
        </w:rPr>
        <w:t xml:space="preserve"> </w:t>
      </w:r>
      <w:r w:rsidR="002013E3" w:rsidRPr="006D72B7">
        <w:rPr>
          <w:rFonts w:asciiTheme="majorBidi" w:hAnsiTheme="majorBidi" w:cstheme="majorBidi"/>
        </w:rPr>
        <w:t>due à une caractéristique intrinsèque,</w:t>
      </w:r>
      <w:r w:rsidR="001765AB" w:rsidRPr="001765AB">
        <w:rPr>
          <w:rFonts w:asciiTheme="majorBidi" w:hAnsiTheme="majorBidi" w:cstheme="majorBidi"/>
        </w:rPr>
        <w:t xml:space="preserve"> </w:t>
      </w:r>
      <w:r w:rsidR="001765AB">
        <w:rPr>
          <w:rFonts w:asciiTheme="majorBidi" w:hAnsiTheme="majorBidi" w:cstheme="majorBidi"/>
        </w:rPr>
        <w:t>(</w:t>
      </w:r>
      <w:r w:rsidR="001765AB" w:rsidRPr="006D72B7">
        <w:rPr>
          <w:rFonts w:asciiTheme="majorBidi" w:hAnsiTheme="majorBidi" w:cstheme="majorBidi"/>
        </w:rPr>
        <w:t>L’O.M.S</w:t>
      </w:r>
      <w:r w:rsidR="001765AB">
        <w:rPr>
          <w:rFonts w:asciiTheme="majorBidi" w:hAnsiTheme="majorBidi" w:cstheme="majorBidi"/>
        </w:rPr>
        <w:t>. à Katmandou, 1999,</w:t>
      </w:r>
      <w:r>
        <w:rPr>
          <w:rFonts w:asciiTheme="majorBidi" w:hAnsiTheme="majorBidi" w:cstheme="majorBidi"/>
        </w:rPr>
        <w:t xml:space="preserve"> </w:t>
      </w:r>
      <w:r w:rsidR="001765AB">
        <w:rPr>
          <w:rFonts w:asciiTheme="majorBidi" w:hAnsiTheme="majorBidi" w:cstheme="majorBidi"/>
        </w:rPr>
        <w:t xml:space="preserve">citée par </w:t>
      </w:r>
      <w:r w:rsidR="001765AB" w:rsidRPr="006D72B7">
        <w:rPr>
          <w:rFonts w:asciiTheme="majorBidi" w:hAnsiTheme="majorBidi" w:cstheme="majorBidi"/>
        </w:rPr>
        <w:t>BOURDELAIS</w:t>
      </w:r>
      <w:r w:rsidR="001765AB">
        <w:rPr>
          <w:rFonts w:asciiTheme="majorBidi" w:hAnsiTheme="majorBidi" w:cstheme="majorBidi"/>
        </w:rPr>
        <w:t>, 2018).</w:t>
      </w:r>
    </w:p>
    <w:p w:rsidR="00B20E24" w:rsidRPr="001765AB" w:rsidRDefault="001765AB" w:rsidP="001765AB">
      <w:pPr>
        <w:pStyle w:val="Default"/>
        <w:rPr>
          <w:rFonts w:asciiTheme="majorBidi" w:hAnsiTheme="majorBidi" w:cstheme="majorBidi"/>
          <w:lang w:bidi="ar-DZ"/>
        </w:rPr>
      </w:pPr>
      <w:r>
        <w:rPr>
          <w:rFonts w:asciiTheme="majorBidi" w:hAnsiTheme="majorBidi" w:cstheme="majorBidi"/>
          <w:lang w:bidi="ar-DZ"/>
        </w:rPr>
        <w:tab/>
      </w:r>
      <w:r w:rsidR="00B20E24" w:rsidRPr="001765AB">
        <w:rPr>
          <w:rFonts w:asciiTheme="majorBidi" w:hAnsiTheme="majorBidi" w:cstheme="majorBidi"/>
        </w:rPr>
        <w:t>Le Projet de formation « </w:t>
      </w:r>
      <w:proofErr w:type="spellStart"/>
      <w:r w:rsidR="00B20E24" w:rsidRPr="001765AB">
        <w:rPr>
          <w:rFonts w:asciiTheme="majorBidi" w:hAnsiTheme="majorBidi" w:cstheme="majorBidi"/>
        </w:rPr>
        <w:t>Reach</w:t>
      </w:r>
      <w:proofErr w:type="spellEnd"/>
      <w:r w:rsidR="00B20E24" w:rsidRPr="001765AB">
        <w:rPr>
          <w:rFonts w:asciiTheme="majorBidi" w:hAnsiTheme="majorBidi" w:cstheme="majorBidi"/>
        </w:rPr>
        <w:t xml:space="preserve"> Out » sur la protection des réfugiés, (2005</w:t>
      </w:r>
      <w:r w:rsidRPr="001765AB">
        <w:rPr>
          <w:rFonts w:asciiTheme="majorBidi" w:hAnsiTheme="majorBidi" w:cstheme="majorBidi"/>
        </w:rPr>
        <w:t>)</w:t>
      </w:r>
      <w:r>
        <w:rPr>
          <w:rFonts w:asciiTheme="majorBidi" w:hAnsiTheme="majorBidi" w:cstheme="majorBidi"/>
        </w:rPr>
        <w:t xml:space="preserve">, lui, </w:t>
      </w:r>
      <w:r w:rsidRPr="001765AB">
        <w:rPr>
          <w:rFonts w:asciiTheme="majorBidi" w:hAnsiTheme="majorBidi" w:cstheme="majorBidi"/>
          <w:lang w:bidi="ar-DZ"/>
        </w:rPr>
        <w:t xml:space="preserve"> dans sa quête </w:t>
      </w:r>
      <w:r>
        <w:rPr>
          <w:rFonts w:asciiTheme="majorBidi" w:hAnsiTheme="majorBidi" w:cstheme="majorBidi"/>
          <w:lang w:bidi="ar-DZ"/>
        </w:rPr>
        <w:t>de connaissance</w:t>
      </w:r>
      <w:r w:rsidRPr="001765AB">
        <w:rPr>
          <w:rFonts w:asciiTheme="majorBidi" w:hAnsiTheme="majorBidi" w:cstheme="majorBidi"/>
          <w:lang w:bidi="ar-DZ"/>
        </w:rPr>
        <w:t xml:space="preserve"> des catégories des personnes vulnérables procède par l’identification </w:t>
      </w:r>
      <w:r>
        <w:rPr>
          <w:rFonts w:asciiTheme="majorBidi" w:hAnsiTheme="majorBidi" w:cstheme="majorBidi"/>
          <w:lang w:bidi="ar-DZ"/>
        </w:rPr>
        <w:t>d</w:t>
      </w:r>
      <w:r w:rsidRPr="001765AB">
        <w:rPr>
          <w:rFonts w:asciiTheme="majorBidi" w:hAnsiTheme="majorBidi" w:cstheme="majorBidi"/>
          <w:lang w:bidi="ar-DZ"/>
        </w:rPr>
        <w:t xml:space="preserve">es besoins de protection liés à chaque groupe spécifique : </w:t>
      </w:r>
    </w:p>
    <w:p w:rsidR="003770C4" w:rsidRPr="001765AB" w:rsidRDefault="003770C4" w:rsidP="00AC678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1765AB">
        <w:rPr>
          <w:rFonts w:asciiTheme="majorBidi" w:hAnsiTheme="majorBidi" w:cstheme="majorBidi"/>
          <w:sz w:val="24"/>
          <w:szCs w:val="24"/>
        </w:rPr>
        <w:t>Enfants</w:t>
      </w:r>
      <w:r w:rsidR="00AC678C" w:rsidRPr="001765AB">
        <w:rPr>
          <w:rFonts w:asciiTheme="majorBidi" w:hAnsiTheme="majorBidi" w:cstheme="majorBidi"/>
          <w:sz w:val="24"/>
          <w:szCs w:val="24"/>
        </w:rPr>
        <w:t> </w:t>
      </w:r>
      <w:r w:rsidRPr="001765AB">
        <w:rPr>
          <w:rFonts w:asciiTheme="majorBidi" w:hAnsiTheme="majorBidi" w:cstheme="majorBidi"/>
          <w:sz w:val="24"/>
          <w:szCs w:val="24"/>
        </w:rPr>
        <w:t>(éducation, zones de jeu, services de regroupement familial) ;</w:t>
      </w:r>
    </w:p>
    <w:p w:rsidR="003770C4" w:rsidRPr="001765AB" w:rsidRDefault="003770C4" w:rsidP="00AC678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1765AB">
        <w:rPr>
          <w:rFonts w:asciiTheme="majorBidi" w:hAnsiTheme="majorBidi" w:cstheme="majorBidi"/>
          <w:sz w:val="24"/>
          <w:szCs w:val="24"/>
        </w:rPr>
        <w:t>Femmes (sécurité physique, accès aux soins prénataux, proximité de l’eau et du</w:t>
      </w:r>
      <w:r w:rsidR="006D72B7" w:rsidRPr="001765AB">
        <w:rPr>
          <w:rFonts w:asciiTheme="majorBidi" w:hAnsiTheme="majorBidi" w:cstheme="majorBidi"/>
          <w:sz w:val="24"/>
          <w:szCs w:val="24"/>
        </w:rPr>
        <w:t xml:space="preserve"> </w:t>
      </w:r>
      <w:r w:rsidRPr="001765AB">
        <w:rPr>
          <w:rFonts w:asciiTheme="majorBidi" w:hAnsiTheme="majorBidi" w:cstheme="majorBidi"/>
          <w:sz w:val="24"/>
          <w:szCs w:val="24"/>
        </w:rPr>
        <w:t>combustible, possibilités d’exercer des activités génératrices de recettes) ;</w:t>
      </w:r>
    </w:p>
    <w:p w:rsidR="003770C4" w:rsidRPr="001765AB" w:rsidRDefault="003770C4" w:rsidP="00AC678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1765AB">
        <w:rPr>
          <w:rFonts w:asciiTheme="majorBidi" w:hAnsiTheme="majorBidi" w:cstheme="majorBidi"/>
          <w:sz w:val="24"/>
          <w:szCs w:val="24"/>
        </w:rPr>
        <w:t>Victimes de violence (accès à des services de conseils, soutien spécifique en termes de</w:t>
      </w:r>
      <w:r w:rsidR="006D72B7" w:rsidRPr="001765AB">
        <w:rPr>
          <w:rFonts w:asciiTheme="majorBidi" w:hAnsiTheme="majorBidi" w:cstheme="majorBidi"/>
          <w:sz w:val="24"/>
          <w:szCs w:val="24"/>
        </w:rPr>
        <w:t xml:space="preserve"> </w:t>
      </w:r>
      <w:r w:rsidRPr="001765AB">
        <w:rPr>
          <w:rFonts w:asciiTheme="majorBidi" w:hAnsiTheme="majorBidi" w:cstheme="majorBidi"/>
          <w:sz w:val="24"/>
          <w:szCs w:val="24"/>
        </w:rPr>
        <w:t>soins de santé) ;</w:t>
      </w:r>
    </w:p>
    <w:p w:rsidR="003770C4" w:rsidRPr="001765AB" w:rsidRDefault="003770C4" w:rsidP="00AC678C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1765AB">
        <w:rPr>
          <w:rFonts w:asciiTheme="majorBidi" w:hAnsiTheme="majorBidi" w:cstheme="majorBidi"/>
          <w:sz w:val="24"/>
          <w:szCs w:val="24"/>
        </w:rPr>
        <w:t>Personnes souffrant de handicaps physiques ou mentaux (accès à des soins de santé</w:t>
      </w:r>
      <w:r w:rsidR="006D72B7" w:rsidRPr="001765AB">
        <w:rPr>
          <w:rFonts w:asciiTheme="majorBidi" w:hAnsiTheme="majorBidi" w:cstheme="majorBidi"/>
          <w:sz w:val="24"/>
          <w:szCs w:val="24"/>
        </w:rPr>
        <w:t xml:space="preserve"> </w:t>
      </w:r>
      <w:r w:rsidRPr="001765AB">
        <w:rPr>
          <w:rFonts w:asciiTheme="majorBidi" w:hAnsiTheme="majorBidi" w:cstheme="majorBidi"/>
          <w:sz w:val="24"/>
          <w:szCs w:val="24"/>
        </w:rPr>
        <w:t>spécifiques, activités avec la communauté pour favoriser l’intégration);</w:t>
      </w:r>
    </w:p>
    <w:p w:rsidR="00DA5ACC" w:rsidRDefault="003770C4" w:rsidP="00DA5ACC">
      <w:pPr>
        <w:pStyle w:val="PrformatHTML"/>
        <w:numPr>
          <w:ilvl w:val="0"/>
          <w:numId w:val="1"/>
        </w:numPr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</w:rPr>
      </w:pPr>
      <w:r w:rsidRPr="000C7BAA">
        <w:rPr>
          <w:rFonts w:asciiTheme="majorBidi" w:hAnsiTheme="majorBidi" w:cstheme="majorBidi"/>
          <w:sz w:val="24"/>
          <w:szCs w:val="24"/>
        </w:rPr>
        <w:t>Minorités ethniques (sécurité physique, représentation, possibilités adaptées de pratiquer</w:t>
      </w:r>
      <w:r w:rsidR="006D72B7" w:rsidRPr="000C7BAA">
        <w:rPr>
          <w:rFonts w:asciiTheme="majorBidi" w:hAnsiTheme="majorBidi" w:cstheme="majorBidi"/>
          <w:sz w:val="24"/>
          <w:szCs w:val="24"/>
        </w:rPr>
        <w:t xml:space="preserve"> </w:t>
      </w:r>
      <w:r w:rsidRPr="000C7BAA">
        <w:rPr>
          <w:rFonts w:asciiTheme="majorBidi" w:hAnsiTheme="majorBidi" w:cstheme="majorBidi"/>
          <w:sz w:val="24"/>
          <w:szCs w:val="24"/>
        </w:rPr>
        <w:t>leur foi ou des activités propres à leur culture).</w:t>
      </w:r>
      <w:r w:rsidR="003B45D2" w:rsidRPr="000C7BA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964156" w:rsidRDefault="00964156" w:rsidP="00D16E6D">
      <w:pPr>
        <w:pStyle w:val="PrformatHTML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B7565F" w:rsidRPr="00B7565F" w:rsidRDefault="00D818AA" w:rsidP="00A817C3">
      <w:pPr>
        <w:rPr>
          <w:rFonts w:asciiTheme="majorBidi" w:eastAsia="Times New Roman" w:hAnsiTheme="majorBidi" w:cstheme="majorBidi"/>
          <w:b/>
          <w:bCs/>
          <w:u w:val="single"/>
          <w:lang w:eastAsia="fr-FR"/>
        </w:rPr>
      </w:pPr>
      <w:r>
        <w:rPr>
          <w:rFonts w:asciiTheme="majorBidi" w:eastAsia="Times New Roman" w:hAnsiTheme="majorBidi" w:cstheme="majorBidi"/>
          <w:lang w:eastAsia="fr-FR"/>
        </w:rPr>
        <w:tab/>
      </w:r>
      <w:r w:rsidR="00B7565F">
        <w:rPr>
          <w:rFonts w:asciiTheme="majorBidi" w:eastAsia="Times New Roman" w:hAnsiTheme="majorBidi" w:cstheme="majorBidi"/>
          <w:lang w:eastAsia="fr-FR"/>
        </w:rPr>
        <w:t xml:space="preserve">La vulnérabilité </w:t>
      </w:r>
      <w:r w:rsidR="00B7565F" w:rsidRPr="0038362D">
        <w:rPr>
          <w:rFonts w:asciiTheme="majorBidi" w:eastAsia="Times New Roman" w:hAnsiTheme="majorBidi" w:cstheme="majorBidi"/>
          <w:lang w:eastAsia="fr-FR"/>
        </w:rPr>
        <w:t>peut concerner des individus isolés, mais aussi des groupes</w:t>
      </w:r>
      <w:r>
        <w:rPr>
          <w:rFonts w:asciiTheme="majorBidi" w:eastAsia="Times New Roman" w:hAnsiTheme="majorBidi" w:cstheme="majorBidi"/>
          <w:lang w:eastAsia="fr-FR"/>
        </w:rPr>
        <w:t>,</w:t>
      </w:r>
      <w:r w:rsidR="00B7565F" w:rsidRPr="0038362D">
        <w:rPr>
          <w:rFonts w:asciiTheme="majorBidi" w:eastAsia="Times New Roman" w:hAnsiTheme="majorBidi" w:cstheme="majorBidi"/>
          <w:lang w:eastAsia="fr-FR"/>
        </w:rPr>
        <w:t xml:space="preserve"> chez qui les principes d’autonomie, de dignité ou d’intégrité sont compromis, menacés ou violés</w:t>
      </w:r>
      <w:r>
        <w:rPr>
          <w:rFonts w:asciiTheme="majorBidi" w:eastAsia="Times New Roman" w:hAnsiTheme="majorBidi" w:cstheme="majorBidi"/>
          <w:lang w:eastAsia="fr-FR"/>
        </w:rPr>
        <w:t>,</w:t>
      </w:r>
      <w:r w:rsidR="00B7565F" w:rsidRPr="0038362D">
        <w:rPr>
          <w:rFonts w:asciiTheme="majorBidi" w:eastAsia="Times New Roman" w:hAnsiTheme="majorBidi" w:cstheme="majorBidi"/>
          <w:lang w:eastAsia="fr-FR"/>
        </w:rPr>
        <w:t xml:space="preserve"> (les sans-abri, les femmes battues, les immigrants, les homosexuels, les séropositifs</w:t>
      </w:r>
      <w:r w:rsidR="00A817C3">
        <w:rPr>
          <w:rFonts w:asciiTheme="majorBidi" w:eastAsia="Times New Roman" w:hAnsiTheme="majorBidi" w:cstheme="majorBidi"/>
          <w:lang w:eastAsia="fr-FR"/>
        </w:rPr>
        <w:t>.etc.</w:t>
      </w:r>
      <w:r w:rsidR="00A817C3" w:rsidRPr="00912B15">
        <w:rPr>
          <w:rFonts w:asciiTheme="majorBidi" w:eastAsia="Times New Roman" w:hAnsiTheme="majorBidi" w:cstheme="majorBidi"/>
          <w:lang w:eastAsia="fr-FR"/>
        </w:rPr>
        <w:t xml:space="preserve"> (</w:t>
      </w:r>
      <w:proofErr w:type="spellStart"/>
      <w:r w:rsidR="00E74900" w:rsidRPr="00B7565F">
        <w:rPr>
          <w:rFonts w:asciiTheme="majorBidi" w:hAnsiTheme="majorBidi" w:cstheme="majorBidi"/>
        </w:rPr>
        <w:fldChar w:fldCharType="begin"/>
      </w:r>
      <w:r w:rsidR="00B7565F" w:rsidRPr="00B7565F">
        <w:rPr>
          <w:rFonts w:asciiTheme="majorBidi" w:hAnsiTheme="majorBidi" w:cstheme="majorBidi"/>
        </w:rPr>
        <w:instrText>HYPERLINK "https://cogito.hypotheses.org/author/gem"</w:instrText>
      </w:r>
      <w:r w:rsidR="00E74900" w:rsidRPr="00B7565F">
        <w:rPr>
          <w:rFonts w:asciiTheme="majorBidi" w:hAnsiTheme="majorBidi" w:cstheme="majorBidi"/>
        </w:rPr>
        <w:fldChar w:fldCharType="separate"/>
      </w:r>
      <w:r w:rsidR="00B7565F" w:rsidRPr="00B7565F">
        <w:rPr>
          <w:rStyle w:val="Lienhypertexte"/>
          <w:rFonts w:asciiTheme="majorBidi" w:hAnsiTheme="majorBidi" w:cstheme="majorBidi"/>
          <w:color w:val="auto"/>
          <w:u w:val="none"/>
        </w:rPr>
        <w:t>Delcroix</w:t>
      </w:r>
      <w:proofErr w:type="spellEnd"/>
      <w:r w:rsidR="00E74900" w:rsidRPr="00B7565F">
        <w:rPr>
          <w:rFonts w:asciiTheme="majorBidi" w:hAnsiTheme="majorBidi" w:cstheme="majorBidi"/>
        </w:rPr>
        <w:fldChar w:fldCharType="end"/>
      </w:r>
      <w:r w:rsidR="00B7565F" w:rsidRPr="00B7565F">
        <w:rPr>
          <w:rStyle w:val="author"/>
          <w:rFonts w:asciiTheme="majorBidi" w:hAnsiTheme="majorBidi" w:cstheme="majorBidi"/>
        </w:rPr>
        <w:t xml:space="preserve">, </w:t>
      </w:r>
      <w:hyperlink r:id="rId5" w:history="1">
        <w:r w:rsidR="00B7565F" w:rsidRPr="00B7565F">
          <w:rPr>
            <w:rStyle w:val="Lienhypertexte"/>
            <w:rFonts w:asciiTheme="majorBidi" w:hAnsiTheme="majorBidi" w:cstheme="majorBidi"/>
            <w:color w:val="auto"/>
            <w:u w:val="none"/>
          </w:rPr>
          <w:t>2012</w:t>
        </w:r>
      </w:hyperlink>
      <w:r w:rsidR="00B7565F" w:rsidRPr="00B7565F">
        <w:rPr>
          <w:rFonts w:asciiTheme="majorBidi" w:hAnsiTheme="majorBidi" w:cstheme="majorBidi"/>
        </w:rPr>
        <w:t>).</w:t>
      </w:r>
    </w:p>
    <w:p w:rsidR="00B7565F" w:rsidRDefault="00B7565F" w:rsidP="00D16E6D">
      <w:pPr>
        <w:pStyle w:val="PrformatHTML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B7565F" w:rsidRDefault="00B7565F" w:rsidP="00D16E6D">
      <w:pPr>
        <w:pStyle w:val="PrformatHTML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D818AA" w:rsidRDefault="00D818AA" w:rsidP="00D16E6D">
      <w:pPr>
        <w:pStyle w:val="PrformatHTML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</w:p>
    <w:p w:rsidR="00964156" w:rsidRPr="00964156" w:rsidRDefault="00964156" w:rsidP="00D16E6D">
      <w:pPr>
        <w:pStyle w:val="PrformatHTML"/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964156">
        <w:rPr>
          <w:rFonts w:asciiTheme="majorBidi" w:hAnsiTheme="majorBidi" w:cstheme="majorBidi"/>
          <w:b/>
          <w:bCs/>
          <w:sz w:val="24"/>
          <w:szCs w:val="24"/>
          <w:lang w:bidi="ar-DZ"/>
        </w:rPr>
        <w:lastRenderedPageBreak/>
        <w:t>Conclusion</w:t>
      </w:r>
    </w:p>
    <w:p w:rsidR="000C7BAA" w:rsidRDefault="00964156" w:rsidP="00D16E6D">
      <w:pPr>
        <w:pStyle w:val="PrformatHTML"/>
        <w:autoSpaceDE w:val="0"/>
        <w:autoSpaceDN w:val="0"/>
        <w:adjustRightInd w:val="0"/>
        <w:rPr>
          <w:rFonts w:asciiTheme="majorBidi" w:hAnsiTheme="majorBidi" w:cstheme="majorBidi"/>
          <w:sz w:val="24"/>
          <w:szCs w:val="24"/>
          <w:lang w:bidi="ar-DZ"/>
        </w:rPr>
      </w:pPr>
      <w:r>
        <w:rPr>
          <w:rFonts w:asciiTheme="majorBidi" w:hAnsiTheme="majorBidi" w:cstheme="majorBidi"/>
          <w:sz w:val="24"/>
          <w:szCs w:val="24"/>
          <w:lang w:bidi="ar-DZ"/>
        </w:rPr>
        <w:tab/>
      </w:r>
      <w:r w:rsidR="000C7BAA">
        <w:rPr>
          <w:rFonts w:asciiTheme="majorBidi" w:hAnsiTheme="majorBidi" w:cstheme="majorBidi"/>
          <w:sz w:val="24"/>
          <w:szCs w:val="24"/>
          <w:lang w:bidi="ar-DZ"/>
        </w:rPr>
        <w:t xml:space="preserve">La </w:t>
      </w:r>
      <w:r>
        <w:rPr>
          <w:rFonts w:asciiTheme="majorBidi" w:hAnsiTheme="majorBidi" w:cstheme="majorBidi"/>
          <w:sz w:val="24"/>
          <w:szCs w:val="24"/>
          <w:lang w:bidi="ar-DZ"/>
        </w:rPr>
        <w:t>vulnérabilité</w:t>
      </w:r>
      <w:r w:rsidR="000C7BAA">
        <w:rPr>
          <w:rFonts w:asciiTheme="majorBidi" w:hAnsiTheme="majorBidi" w:cstheme="majorBidi"/>
          <w:sz w:val="24"/>
          <w:szCs w:val="24"/>
          <w:lang w:bidi="ar-DZ"/>
        </w:rPr>
        <w:t xml:space="preserve">  choisit ses publics en fonction des situations, la société elle se cherche pour ajuster son regard et cherche les stratégies pour répondre aux spécificités de chacun, pour </w:t>
      </w:r>
      <w:r w:rsidR="00D16E6D">
        <w:rPr>
          <w:rFonts w:asciiTheme="majorBidi" w:hAnsiTheme="majorBidi" w:cstheme="majorBidi"/>
          <w:sz w:val="24"/>
          <w:szCs w:val="24"/>
          <w:lang w:bidi="ar-DZ"/>
        </w:rPr>
        <w:t xml:space="preserve">dissiper </w:t>
      </w:r>
      <w:r w:rsidR="000C7BAA">
        <w:rPr>
          <w:rFonts w:asciiTheme="majorBidi" w:hAnsiTheme="majorBidi" w:cstheme="majorBidi"/>
          <w:sz w:val="24"/>
          <w:szCs w:val="24"/>
          <w:lang w:bidi="ar-DZ"/>
        </w:rPr>
        <w:t xml:space="preserve">les </w:t>
      </w:r>
      <w:r w:rsidR="00D16E6D">
        <w:rPr>
          <w:rFonts w:asciiTheme="majorBidi" w:hAnsiTheme="majorBidi" w:cstheme="majorBidi"/>
          <w:sz w:val="24"/>
          <w:szCs w:val="24"/>
          <w:lang w:bidi="ar-DZ"/>
        </w:rPr>
        <w:t>avatars du passé.</w:t>
      </w:r>
      <w:r w:rsidR="000C7BA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D16E6D">
        <w:rPr>
          <w:rFonts w:asciiTheme="majorBidi" w:hAnsiTheme="majorBidi" w:cstheme="majorBidi"/>
          <w:sz w:val="24"/>
          <w:szCs w:val="24"/>
          <w:lang w:bidi="ar-DZ"/>
        </w:rPr>
        <w:t>Ici réside tout l’intérêt à comprendre les facteurs de la vulnérabilité et la connaissance fine de</w:t>
      </w:r>
      <w:r>
        <w:rPr>
          <w:rFonts w:asciiTheme="majorBidi" w:hAnsiTheme="majorBidi" w:cstheme="majorBidi"/>
          <w:sz w:val="24"/>
          <w:szCs w:val="24"/>
          <w:lang w:bidi="ar-DZ"/>
        </w:rPr>
        <w:t xml:space="preserve"> se</w:t>
      </w:r>
      <w:r w:rsidR="00D16E6D">
        <w:rPr>
          <w:rFonts w:asciiTheme="majorBidi" w:hAnsiTheme="majorBidi" w:cstheme="majorBidi"/>
          <w:sz w:val="24"/>
          <w:szCs w:val="24"/>
          <w:lang w:bidi="ar-DZ"/>
        </w:rPr>
        <w:t>s catégories</w:t>
      </w:r>
      <w:r>
        <w:rPr>
          <w:rFonts w:asciiTheme="majorBidi" w:hAnsiTheme="majorBidi" w:cstheme="majorBidi"/>
          <w:sz w:val="24"/>
          <w:szCs w:val="24"/>
          <w:lang w:bidi="ar-DZ"/>
        </w:rPr>
        <w:t>.</w:t>
      </w:r>
      <w:r w:rsidR="00D16E6D">
        <w:rPr>
          <w:rFonts w:asciiTheme="majorBidi" w:hAnsiTheme="majorBidi" w:cstheme="majorBidi"/>
          <w:sz w:val="24"/>
          <w:szCs w:val="24"/>
          <w:lang w:bidi="ar-DZ"/>
        </w:rPr>
        <w:t xml:space="preserve">  </w:t>
      </w:r>
      <w:r w:rsidR="000C7BA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</w:p>
    <w:p w:rsidR="00964156" w:rsidRDefault="00964156" w:rsidP="006D72B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</w:p>
    <w:p w:rsidR="00A207F2" w:rsidRPr="000C7BAA" w:rsidRDefault="000C7BAA" w:rsidP="006D72B7">
      <w:pPr>
        <w:autoSpaceDE w:val="0"/>
        <w:autoSpaceDN w:val="0"/>
        <w:adjustRightInd w:val="0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C7BAA">
        <w:rPr>
          <w:rFonts w:asciiTheme="majorBidi" w:hAnsiTheme="majorBidi" w:cstheme="majorBidi"/>
          <w:b/>
          <w:bCs/>
          <w:sz w:val="24"/>
          <w:szCs w:val="24"/>
          <w:u w:val="single"/>
        </w:rPr>
        <w:t>Références</w:t>
      </w:r>
      <w:r w:rsidR="001765AB" w:rsidRPr="000C7BAA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bibliographiques</w:t>
      </w:r>
    </w:p>
    <w:p w:rsidR="00A817C3" w:rsidRPr="00A817C3" w:rsidRDefault="00E74900" w:rsidP="00964156">
      <w:pPr>
        <w:rPr>
          <w:rFonts w:asciiTheme="majorBidi" w:hAnsiTheme="majorBidi" w:cstheme="majorBidi"/>
        </w:rPr>
      </w:pPr>
      <w:hyperlink r:id="rId6" w:history="1">
        <w:r w:rsidR="00A817C3" w:rsidRPr="00A817C3">
          <w:rPr>
            <w:rStyle w:val="Lienhypertexte"/>
            <w:rFonts w:asciiTheme="majorBidi" w:hAnsiTheme="majorBidi" w:cstheme="majorBidi"/>
            <w:color w:val="auto"/>
            <w:u w:val="none"/>
          </w:rPr>
          <w:t>Delcroix</w:t>
        </w:r>
      </w:hyperlink>
      <w:r w:rsidR="00A817C3" w:rsidRPr="00A817C3">
        <w:rPr>
          <w:rFonts w:asciiTheme="majorBidi" w:hAnsiTheme="majorBidi" w:cstheme="majorBidi"/>
        </w:rPr>
        <w:t xml:space="preserve"> C.</w:t>
      </w:r>
      <w:r w:rsidR="00A817C3" w:rsidRPr="00A817C3">
        <w:rPr>
          <w:rStyle w:val="author"/>
          <w:rFonts w:asciiTheme="majorBidi" w:hAnsiTheme="majorBidi" w:cstheme="majorBidi"/>
        </w:rPr>
        <w:t xml:space="preserve">, </w:t>
      </w:r>
      <w:r w:rsidR="00A817C3" w:rsidRPr="00A817C3">
        <w:rPr>
          <w:rFonts w:asciiTheme="majorBidi" w:eastAsia="Times New Roman" w:hAnsiTheme="majorBidi" w:cstheme="majorBidi"/>
          <w:kern w:val="36"/>
          <w:lang w:eastAsia="fr-FR"/>
        </w:rPr>
        <w:t>On réfléchit à la vulnérabilité dès la première année de médecine, 2012</w:t>
      </w:r>
      <w:r w:rsidR="00A817C3" w:rsidRPr="00A817C3">
        <w:rPr>
          <w:rStyle w:val="posted-on"/>
          <w:rFonts w:asciiTheme="majorBidi" w:hAnsiTheme="majorBidi" w:cstheme="majorBidi"/>
        </w:rPr>
        <w:t>.</w:t>
      </w:r>
      <w:r w:rsidR="00A817C3" w:rsidRPr="00A817C3">
        <w:rPr>
          <w:rFonts w:asciiTheme="majorBidi" w:hAnsiTheme="majorBidi" w:cstheme="majorBidi"/>
        </w:rPr>
        <w:t xml:space="preserve"> </w:t>
      </w:r>
      <w:hyperlink r:id="rId7" w:history="1">
        <w:r w:rsidR="00A817C3" w:rsidRPr="00A817C3">
          <w:rPr>
            <w:rStyle w:val="Lienhypertexte"/>
            <w:rFonts w:asciiTheme="majorBidi" w:eastAsia="Times New Roman" w:hAnsiTheme="majorBidi" w:cstheme="majorBidi"/>
            <w:color w:val="auto"/>
            <w:u w:val="none"/>
            <w:lang w:eastAsia="fr-FR"/>
          </w:rPr>
          <w:t>https://cogito.hypotheses.org/27</w:t>
        </w:r>
      </w:hyperlink>
    </w:p>
    <w:p w:rsidR="00A817C3" w:rsidRPr="00A817C3" w:rsidRDefault="00A817C3" w:rsidP="00A817C3">
      <w:pPr>
        <w:jc w:val="right"/>
        <w:rPr>
          <w:rFonts w:asciiTheme="majorBidi" w:hAnsiTheme="majorBidi" w:cstheme="majorBidi"/>
        </w:rPr>
      </w:pPr>
    </w:p>
    <w:p w:rsidR="00964156" w:rsidRPr="00A817C3" w:rsidRDefault="000C7BAA" w:rsidP="00964156">
      <w:pPr>
        <w:rPr>
          <w:rFonts w:asciiTheme="majorBidi" w:eastAsia="DejaVuSerif" w:hAnsiTheme="majorBidi" w:cstheme="majorBidi"/>
        </w:rPr>
      </w:pPr>
      <w:r w:rsidRPr="00A817C3">
        <w:rPr>
          <w:rFonts w:asciiTheme="majorBidi" w:hAnsiTheme="majorBidi" w:cstheme="majorBidi"/>
        </w:rPr>
        <w:t xml:space="preserve">Laurence </w:t>
      </w:r>
      <w:proofErr w:type="spellStart"/>
      <w:r w:rsidRPr="00A817C3">
        <w:rPr>
          <w:rFonts w:asciiTheme="majorBidi" w:hAnsiTheme="majorBidi" w:cstheme="majorBidi"/>
        </w:rPr>
        <w:t>Mondou</w:t>
      </w:r>
      <w:proofErr w:type="spellEnd"/>
      <w:r w:rsidRPr="00A817C3">
        <w:rPr>
          <w:rFonts w:asciiTheme="majorBidi" w:hAnsiTheme="majorBidi" w:cstheme="majorBidi"/>
        </w:rPr>
        <w:t>-Labbé, Tous vulnérables ?, Inegalitessociales.com, Chaire de recherche du Canada sur les inégalités sociales et les parcours de vie, mars 2018.</w:t>
      </w:r>
    </w:p>
    <w:p w:rsidR="00A817C3" w:rsidRDefault="00A817C3" w:rsidP="00964156">
      <w:pPr>
        <w:rPr>
          <w:rFonts w:asciiTheme="majorBidi" w:eastAsia="DejaVuSerif" w:hAnsiTheme="majorBidi" w:cstheme="majorBidi"/>
        </w:rPr>
      </w:pPr>
    </w:p>
    <w:p w:rsidR="000C7BAA" w:rsidRPr="00A817C3" w:rsidRDefault="000C7BAA" w:rsidP="00964156">
      <w:pPr>
        <w:rPr>
          <w:rFonts w:asciiTheme="majorBidi" w:eastAsia="DejaVuSerif" w:hAnsiTheme="majorBidi" w:cstheme="majorBidi"/>
        </w:rPr>
      </w:pPr>
      <w:r w:rsidRPr="00A817C3">
        <w:rPr>
          <w:rFonts w:asciiTheme="majorBidi" w:eastAsia="DejaVuSerif" w:hAnsiTheme="majorBidi" w:cstheme="majorBidi"/>
        </w:rPr>
        <w:t xml:space="preserve">Patrice </w:t>
      </w:r>
      <w:proofErr w:type="spellStart"/>
      <w:r w:rsidRPr="00A817C3">
        <w:rPr>
          <w:rFonts w:asciiTheme="majorBidi" w:eastAsia="DejaVuSerif" w:hAnsiTheme="majorBidi" w:cstheme="majorBidi"/>
        </w:rPr>
        <w:t>Bourdelais</w:t>
      </w:r>
      <w:proofErr w:type="spellEnd"/>
      <w:r w:rsidRPr="00A817C3">
        <w:rPr>
          <w:rFonts w:asciiTheme="majorBidi" w:eastAsia="DejaVuSerif" w:hAnsiTheme="majorBidi" w:cstheme="majorBidi"/>
        </w:rPr>
        <w:t xml:space="preserve">, QU'EST-CE QUE LA VULNÉRABILITÉ ? Belin | « Annales de démographie historique » N° 110 pages 5 à 9, 2005.  </w:t>
      </w:r>
    </w:p>
    <w:p w:rsidR="00A817C3" w:rsidRPr="00D818AA" w:rsidRDefault="00A817C3" w:rsidP="00964156">
      <w:pPr>
        <w:tabs>
          <w:tab w:val="right" w:pos="9072"/>
        </w:tabs>
        <w:rPr>
          <w:rFonts w:asciiTheme="majorBidi" w:hAnsiTheme="majorBidi" w:cstheme="majorBidi"/>
        </w:rPr>
      </w:pPr>
    </w:p>
    <w:p w:rsidR="00AF06B1" w:rsidRPr="00A817C3" w:rsidRDefault="00AF06B1" w:rsidP="00964156">
      <w:pPr>
        <w:tabs>
          <w:tab w:val="right" w:pos="9072"/>
        </w:tabs>
        <w:rPr>
          <w:rFonts w:asciiTheme="majorBidi" w:eastAsia="DejaVuSerif" w:hAnsiTheme="majorBidi" w:cstheme="majorBidi"/>
          <w:lang w:val="en-US"/>
        </w:rPr>
      </w:pPr>
      <w:r w:rsidRPr="00A817C3">
        <w:rPr>
          <w:rFonts w:asciiTheme="majorBidi" w:hAnsiTheme="majorBidi" w:cstheme="majorBidi"/>
          <w:lang w:val="en-US"/>
        </w:rPr>
        <w:t xml:space="preserve">Reach Out Refugee Protection Training Project, 2005. </w:t>
      </w:r>
    </w:p>
    <w:p w:rsidR="000C7BAA" w:rsidRPr="00A817C3" w:rsidRDefault="00A817C3" w:rsidP="00A817C3">
      <w:pPr>
        <w:tabs>
          <w:tab w:val="left" w:pos="3990"/>
        </w:tabs>
        <w:autoSpaceDE w:val="0"/>
        <w:autoSpaceDN w:val="0"/>
        <w:adjustRightInd w:val="0"/>
        <w:rPr>
          <w:rFonts w:asciiTheme="majorBidi" w:eastAsia="DejaVuSerif" w:hAnsiTheme="majorBidi" w:cstheme="majorBidi"/>
          <w:lang w:val="en-US"/>
        </w:rPr>
      </w:pPr>
      <w:r w:rsidRPr="00A817C3">
        <w:rPr>
          <w:rFonts w:asciiTheme="majorBidi" w:eastAsia="DejaVuSerif" w:hAnsiTheme="majorBidi" w:cstheme="majorBidi"/>
          <w:lang w:val="en-US"/>
        </w:rPr>
        <w:tab/>
      </w:r>
    </w:p>
    <w:p w:rsidR="00EB1E2D" w:rsidRPr="00A817C3" w:rsidRDefault="00EB1E2D" w:rsidP="00D52797">
      <w:pPr>
        <w:rPr>
          <w:rFonts w:asciiTheme="majorBidi" w:hAnsiTheme="majorBidi" w:cstheme="majorBidi"/>
          <w:lang w:val="en-US"/>
        </w:rPr>
      </w:pPr>
    </w:p>
    <w:p w:rsidR="006D72B7" w:rsidRPr="000C7BAA" w:rsidRDefault="006D72B7" w:rsidP="00D52797">
      <w:pPr>
        <w:rPr>
          <w:rFonts w:asciiTheme="majorBidi" w:hAnsiTheme="majorBidi" w:cstheme="majorBidi"/>
          <w:sz w:val="24"/>
          <w:szCs w:val="24"/>
          <w:lang w:val="en-US"/>
        </w:rPr>
      </w:pPr>
    </w:p>
    <w:sectPr w:rsidR="006D72B7" w:rsidRPr="000C7BAA" w:rsidSect="009641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7FC"/>
    <w:multiLevelType w:val="hybridMultilevel"/>
    <w:tmpl w:val="1C2286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B45D2"/>
    <w:rsid w:val="0003370C"/>
    <w:rsid w:val="000C7BAA"/>
    <w:rsid w:val="000F089C"/>
    <w:rsid w:val="00167D1E"/>
    <w:rsid w:val="001765AB"/>
    <w:rsid w:val="002013E3"/>
    <w:rsid w:val="00242B1F"/>
    <w:rsid w:val="0024653E"/>
    <w:rsid w:val="003770C4"/>
    <w:rsid w:val="003B45D2"/>
    <w:rsid w:val="004C14B5"/>
    <w:rsid w:val="006D72B7"/>
    <w:rsid w:val="00764133"/>
    <w:rsid w:val="008844F9"/>
    <w:rsid w:val="008C7FCD"/>
    <w:rsid w:val="0094587B"/>
    <w:rsid w:val="00964156"/>
    <w:rsid w:val="00A207F2"/>
    <w:rsid w:val="00A47867"/>
    <w:rsid w:val="00A76C66"/>
    <w:rsid w:val="00A817C3"/>
    <w:rsid w:val="00AC678C"/>
    <w:rsid w:val="00AF06B1"/>
    <w:rsid w:val="00B20E24"/>
    <w:rsid w:val="00B7565F"/>
    <w:rsid w:val="00BB2C93"/>
    <w:rsid w:val="00C17FE1"/>
    <w:rsid w:val="00C52094"/>
    <w:rsid w:val="00CB5F94"/>
    <w:rsid w:val="00CC439D"/>
    <w:rsid w:val="00D16E6D"/>
    <w:rsid w:val="00D52797"/>
    <w:rsid w:val="00D818AA"/>
    <w:rsid w:val="00DA5ACC"/>
    <w:rsid w:val="00DD4D4F"/>
    <w:rsid w:val="00E74900"/>
    <w:rsid w:val="00E868ED"/>
    <w:rsid w:val="00EB1E2D"/>
    <w:rsid w:val="00F523BE"/>
    <w:rsid w:val="00FF4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C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70C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70C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1E2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B1E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C678C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unhideWhenUsed/>
    <w:rsid w:val="00B20E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B20E24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uthor">
    <w:name w:val="author"/>
    <w:basedOn w:val="Policepardfaut"/>
    <w:rsid w:val="00B7565F"/>
  </w:style>
  <w:style w:type="character" w:customStyle="1" w:styleId="posted-on">
    <w:name w:val="posted-on"/>
    <w:basedOn w:val="Policepardfaut"/>
    <w:rsid w:val="00A817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ogito.hypotheses.org/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gito.hypotheses.org/author/gem" TargetMode="External"/><Relationship Id="rId5" Type="http://schemas.openxmlformats.org/officeDocument/2006/relationships/hyperlink" Target="https://cogito.hypotheses.org/2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2</Pages>
  <Words>803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2019-10-22T21:33:00Z</cp:lastPrinted>
  <dcterms:created xsi:type="dcterms:W3CDTF">2019-10-20T21:03:00Z</dcterms:created>
  <dcterms:modified xsi:type="dcterms:W3CDTF">2021-01-23T14:35:00Z</dcterms:modified>
</cp:coreProperties>
</file>