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584E" w14:textId="02E95F88" w:rsidR="00D8541F" w:rsidRDefault="00D8541F" w:rsidP="00D8541F">
      <w:pPr>
        <w:jc w:val="both"/>
      </w:pPr>
      <w:r>
        <w:t>Texte d’illustration N</w:t>
      </w:r>
    </w:p>
    <w:p w14:paraId="1D36D713" w14:textId="3E34F55C" w:rsidR="00D8541F" w:rsidRDefault="00D8541F" w:rsidP="00D8541F">
      <w:pPr>
        <w:ind w:firstLine="0"/>
        <w:jc w:val="both"/>
        <w:rPr>
          <w:szCs w:val="36"/>
        </w:rPr>
      </w:pPr>
      <w:r>
        <w:rPr>
          <w:szCs w:val="36"/>
        </w:rPr>
        <w:t>Touraine, la voix et le regard, 1978</w:t>
      </w:r>
    </w:p>
    <w:p w14:paraId="10B591D5" w14:textId="0A44CED4" w:rsidR="00D8541F" w:rsidRDefault="00D8541F" w:rsidP="00D8541F">
      <w:pPr>
        <w:ind w:firstLine="0"/>
        <w:jc w:val="both"/>
        <w:rPr>
          <w:szCs w:val="36"/>
        </w:rPr>
      </w:pPr>
      <w:r>
        <w:rPr>
          <w:szCs w:val="36"/>
        </w:rPr>
        <w:t>Partie 2 : L’intervention sociologique, chapitre 1 l’objet et la méthode pp181-187.</w:t>
      </w:r>
    </w:p>
    <w:p w14:paraId="5175EE36" w14:textId="77777777" w:rsidR="00D8541F" w:rsidRDefault="00D8541F" w:rsidP="00D8541F">
      <w:pPr>
        <w:pStyle w:val="Sansinterligne"/>
        <w:jc w:val="both"/>
        <w:rPr>
          <w:rFonts w:asciiTheme="majorBidi" w:hAnsiTheme="majorBidi" w:cstheme="majorBidi"/>
          <w:sz w:val="20"/>
        </w:rPr>
      </w:pPr>
    </w:p>
    <w:p w14:paraId="7EDB38BF" w14:textId="4E02835A" w:rsidR="00D8541F" w:rsidRPr="00D8541F" w:rsidRDefault="00D8541F" w:rsidP="00D8541F">
      <w:pPr>
        <w:pStyle w:val="Sansinterligne"/>
        <w:jc w:val="both"/>
        <w:rPr>
          <w:rFonts w:asciiTheme="majorBidi" w:hAnsiTheme="majorBidi" w:cstheme="majorBidi"/>
          <w:i/>
          <w:iCs/>
          <w:sz w:val="22"/>
          <w:szCs w:val="22"/>
        </w:rPr>
      </w:pPr>
      <w:r w:rsidRPr="00D8541F">
        <w:rPr>
          <w:rFonts w:asciiTheme="majorBidi" w:hAnsiTheme="majorBidi" w:cstheme="majorBidi"/>
          <w:i/>
          <w:iCs/>
          <w:sz w:val="22"/>
          <w:szCs w:val="22"/>
        </w:rPr>
        <w:t>J'ai défini dans la première partie de ce livre les orientations principales d'une analyse proprement sociologique ou du moins de son cœur. Mais à quoi bon si cet effort, poursuivi depuis longtemps, n'aboutit pas à une pratique nouvelle ? Nous sommes un peu lassés d'apprendre ce que les sociologues pensent ; nous leur demandons ce qu'ils font. Et si une démarche théorique pense circonscrire les lieux centraux de la vie sociale, elle doit proposer une méthode particulière qui permette à l'analyse de les atteindre.</w:t>
      </w:r>
    </w:p>
    <w:p w14:paraId="3B1CF75D" w14:textId="77777777" w:rsidR="00D8541F" w:rsidRPr="00D8541F" w:rsidRDefault="00D8541F" w:rsidP="00D8541F">
      <w:pPr>
        <w:pStyle w:val="Sansinterligne"/>
        <w:jc w:val="both"/>
        <w:rPr>
          <w:rFonts w:asciiTheme="majorBidi" w:hAnsiTheme="majorBidi" w:cstheme="majorBidi"/>
          <w:i/>
          <w:iCs/>
          <w:sz w:val="22"/>
          <w:szCs w:val="22"/>
        </w:rPr>
      </w:pPr>
      <w:r w:rsidRPr="00D8541F">
        <w:rPr>
          <w:rFonts w:asciiTheme="majorBidi" w:hAnsiTheme="majorBidi" w:cstheme="majorBidi"/>
          <w:i/>
          <w:iCs/>
          <w:sz w:val="22"/>
          <w:szCs w:val="22"/>
        </w:rPr>
        <w:t>Rappelons notre point de départ : la sociologie étudie les rapports sociaux. Sa méthode principale doit donc permettre l'observation et l'analyse directe de ceux-ci. Se donner comme objet d'étude une situation, une tendance ou une opinion est déjà s'éloigner du champ principal de la sociologie. C'est pourquoi le vieux découpage de la société en « institutions  » : la famille, le pouvoir politique, l'entreprise, la ville, etc., est depuis longtemps abandonné et remplacé par de nouveaux domaines qui tous, directement ou indirectement, peuvent être définis en termes de rapports sociaux : les organisations et leurs relations d'autorité ; les décisions politiques et les influences qui y conduisent ; les rapports de classes, les systèmes d'ordre considérés dans leur fonction d'exclusion et d'élimination. Mais ces rapports sociaux ne sont pas donnés à voir ; ils sont au contraire plus ou moins masqués par un ordre et par une domination. Le problème principal de la sociologie est de les faire apparaître, de ne plus être dupe des catégories de la pratique sociale. Ce qui suppose une intervention active du sociologue. Il faut faire apparaître les rapports sociaux cachés par le réseau des pratiques organisées et [182] sanctionnées. Comment y parvenir ? Si on admet qu'ils sont recouverts par l'ordre et la domination, il faut faire appel d'abord à ce qui est dominé et soumis à l'ordre, à ce qui proteste et à ce qui est exclu. Non pas pour privilégier ces conduites ou les idéologies qui les soutiennent mais pour faire apparaître la moitié enterrée, cachée, des rapports sociaux et donc découvrir ceux-ci tout entiers. Il faut aussi trouver derrière l'ordre et ses catégories techniques, administratives ou morales, l'acteur dominant, ses intérêts sociaux et ses orientations culturelles. Ainsi se définit l'intervention sociologique : action du sociologue pour faire apparaître les rapports sociaux et en faire l'objet principal de l'analyse. Le premier problème auquel elle doit s'appliquer est naturellement celui des mouvements sociaux, parce qu'il est le plus central. De plus le conflit des acteurs de classe pour le contrôle d'un champ culturel est plus difficilement caché que la lutte des exclus contre l'ordre ou la revendication des membres d'une organisation pour une meilleure position relative à l'intérieur de celle-ci. L'inconvénient, nous le verrons, est que la visibilité de ces grands rapports sociaux s'accompagne de la force des idéologies antagonistes. Bien souvent l'histoire des mouvements sociaux s'est contentée de reproduire ces idéologies et de chanter les hauts faits des héros de l'histoire. Mais nous trouverons le moyen de franchir cette difficulté. Que l'enjeu de cette recherche méthodologique soit clair : il ne s'agit pas de présenter des techniques ou des procédés mais d'inventer une méthode qui corresponde à la démarche de la sociologie des mouvements sociaux et plus largement de l'action collective.</w:t>
      </w:r>
    </w:p>
    <w:p w14:paraId="04332FC4" w14:textId="77777777" w:rsidR="00D8541F" w:rsidRPr="00D8541F" w:rsidRDefault="00D8541F" w:rsidP="00D8541F">
      <w:pPr>
        <w:pStyle w:val="Sansinterligne"/>
        <w:jc w:val="both"/>
        <w:rPr>
          <w:rFonts w:asciiTheme="majorBidi" w:hAnsiTheme="majorBidi" w:cstheme="majorBidi"/>
          <w:i/>
          <w:iCs/>
          <w:sz w:val="22"/>
          <w:szCs w:val="22"/>
        </w:rPr>
      </w:pPr>
      <w:bookmarkStart w:id="0" w:name="voix_et_regard_pt_2_chap_1_a"/>
      <w:r w:rsidRPr="00D8541F">
        <w:rPr>
          <w:rFonts w:asciiTheme="majorBidi" w:hAnsiTheme="majorBidi" w:cstheme="majorBidi"/>
          <w:i/>
          <w:iCs/>
          <w:sz w:val="22"/>
          <w:szCs w:val="22"/>
        </w:rPr>
        <w:t>Une approche différente.</w:t>
      </w:r>
    </w:p>
    <w:bookmarkEnd w:id="0"/>
    <w:p w14:paraId="236F4715" w14:textId="77777777" w:rsidR="00D8541F" w:rsidRPr="00D8541F" w:rsidRDefault="00D8541F" w:rsidP="00D8541F">
      <w:pPr>
        <w:pStyle w:val="Sansinterligne"/>
        <w:jc w:val="both"/>
        <w:rPr>
          <w:rFonts w:asciiTheme="majorBidi" w:hAnsiTheme="majorBidi" w:cstheme="majorBidi"/>
          <w:i/>
          <w:iCs/>
          <w:sz w:val="22"/>
          <w:szCs w:val="22"/>
        </w:rPr>
      </w:pPr>
      <w:r w:rsidRPr="00D8541F">
        <w:rPr>
          <w:rFonts w:asciiTheme="majorBidi" w:hAnsiTheme="majorBidi" w:cstheme="majorBidi"/>
          <w:i/>
          <w:iCs/>
          <w:sz w:val="22"/>
          <w:szCs w:val="22"/>
        </w:rPr>
        <w:t xml:space="preserve">On ne choisit pas une méthode. Chacune suppose une idée sur la nature des faits considérés. Celui qui veut suivre l'évolution d'un phénomène doit établir des séries ; celui qui s'intéresse aux choix individuels et à la consommation, entendue au sens le plus large, doit mettre en relation par des méthodes statistiques des préférences, des intentions ou des choix réels avec des catégories d'acteurs. Au contraire l'étude d'une décision ne peut pas [183] procéder de cette manière. Elle doit reconstituer toutes les interventions qui ont exercé une influence. Ici l'enquête par questionnaire aussi bien que la recherche historique sont insuffisantes. Celle-ci en particulier, parce qu'elle ne connaît que les documents écrits ou figurés, produits par l'organisation sociale dans des buts bien définis et parce que le plus souvent il est impossible de reconstituer le cheminement d'une décision à partir de ces seuls documents, qui ne permettent pas de saisir complètement les relations entre individus, groupes ou forces sociales. Il faut donc reconstituer le champ de la décision en interrogeant les acteurs, parfois en simulant le processus politique. Les mouvements sociaux sont plus éloignés encore que les décisions du domaine des enquêtes statistiques et de celui des historiens. Les documents historiques qui les concernent sont très insuffisants, d'autant plus qu'un mouvement est plus faiblement organisé et mobilise </w:t>
      </w:r>
      <w:r w:rsidRPr="00D8541F">
        <w:rPr>
          <w:rFonts w:asciiTheme="majorBidi" w:hAnsiTheme="majorBidi" w:cstheme="majorBidi"/>
          <w:i/>
          <w:iCs/>
          <w:sz w:val="22"/>
          <w:szCs w:val="22"/>
        </w:rPr>
        <w:lastRenderedPageBreak/>
        <w:t xml:space="preserve">moins d'intellectuels. D'un autre côté leur abondance peut être le contraire de la richesse, quand ils se réduisent à des professions de foi, à des textes de propagande, à une idéologie. Un mouvement social est fortement engagé dans un conflit : les documents qu'il produit sont directement idéologiques et plus le conflit est vif et plus aussi il est difficile de recueillir des témoignages qui ne soient pas aussitôt des prises de position. Enfin le chercheur lui-même qui s'approche sans difficulté d'agrégats statistiques, qui a déjà plus de peine à voir les dessous d'une décision, est le plus souvent tenu à l'écart d'un mouvement social. Combien de fois n'avons-nous pas entendu dire que nos études sociologiques ne pouvaient profiter qu'aux dirigeants de la politique et de l'économie, seuls capables d'analyser et d'utiliser l'information recueillie, tandis que l'intérêt des mouvements populaires était de recevoir des informations sur la situation qu'ils subissent et sur les intentions ou l'organisation de leurs adversaires. La peur d'être espionné est aussi grande que le désir d'être renseigné sur l'ennemi. Tout semble donc plus facile à étudier que les mouvements sociaux. L'enquête permet de connaître des ensembles statistiques ; inversement les documents historiques, les monuments et les textes renseignent bien sur ce qui est le plus organisé, le plus codifié dans une société ; les textes de loi comme les bâtiments des prisons informent bien sur la légalité et </w:t>
      </w:r>
      <w:proofErr w:type="gramStart"/>
      <w:r w:rsidRPr="00D8541F">
        <w:rPr>
          <w:rFonts w:asciiTheme="majorBidi" w:hAnsiTheme="majorBidi" w:cstheme="majorBidi"/>
          <w:i/>
          <w:iCs/>
          <w:sz w:val="22"/>
          <w:szCs w:val="22"/>
        </w:rPr>
        <w:t>la</w:t>
      </w:r>
      <w:proofErr w:type="gramEnd"/>
      <w:r w:rsidRPr="00D8541F">
        <w:rPr>
          <w:rFonts w:asciiTheme="majorBidi" w:hAnsiTheme="majorBidi" w:cstheme="majorBidi"/>
          <w:i/>
          <w:iCs/>
          <w:sz w:val="22"/>
          <w:szCs w:val="22"/>
        </w:rPr>
        <w:t xml:space="preserve"> [184] conception de la déviance ou de la criminalité que cherchent à imposer une société, un État ou une classe dirigeante. Mais comment saisir une action collective conflictuelle ? Comment atteindre ce travail de la société sur elle-même, ce drame où s'invente une histoire dont le texte n'est pas établi d'avance ? Et dans quelle position placer l'analyste : intégré au mouvement il n'en est plus que l'idéologue ; distant ou neutre il est rejeté ; s'il devient enquêteur ses questions détruisent le mouvement en cherchant des opinions individuelles là où existe une action collective, en demandant des réponses à une situation là où c'est le mouvement qui redéfinit la situation. Et pourtant les idées exposées dans la première partie de ce livre imposent d'inventer une méthode d'étude des mouvements sociaux, en abandonnant la représentation de la société comme un ensemble de fonctions et de règles, de techniques et de réponses aux demandes de l'environnement et en la remplaçant par l'image d'une société travaillant sur elle-même, construisant ses pratiques à partir de son historicité et de ses conflits de classes.</w:t>
      </w:r>
    </w:p>
    <w:p w14:paraId="2BE0884B" w14:textId="77777777" w:rsidR="00D8541F" w:rsidRPr="00D8541F" w:rsidRDefault="00D8541F" w:rsidP="00D8541F">
      <w:pPr>
        <w:pStyle w:val="Sansinterligne"/>
        <w:jc w:val="both"/>
        <w:rPr>
          <w:rFonts w:asciiTheme="majorBidi" w:hAnsiTheme="majorBidi" w:cstheme="majorBidi"/>
          <w:i/>
          <w:iCs/>
          <w:sz w:val="22"/>
          <w:szCs w:val="22"/>
        </w:rPr>
      </w:pPr>
      <w:bookmarkStart w:id="1" w:name="voix_et_regard_pt_2_chap_1_b"/>
    </w:p>
    <w:p w14:paraId="3D090F06" w14:textId="1C921947" w:rsidR="00D8541F" w:rsidRPr="00D8541F" w:rsidRDefault="00D8541F" w:rsidP="00D8541F">
      <w:pPr>
        <w:pStyle w:val="Sansinterligne"/>
        <w:jc w:val="both"/>
        <w:rPr>
          <w:rFonts w:asciiTheme="majorBidi" w:hAnsiTheme="majorBidi" w:cstheme="majorBidi"/>
          <w:i/>
          <w:iCs/>
          <w:sz w:val="22"/>
          <w:szCs w:val="22"/>
        </w:rPr>
      </w:pPr>
      <w:r w:rsidRPr="00D8541F">
        <w:rPr>
          <w:rFonts w:asciiTheme="majorBidi" w:hAnsiTheme="majorBidi" w:cstheme="majorBidi"/>
          <w:i/>
          <w:iCs/>
          <w:sz w:val="22"/>
          <w:szCs w:val="22"/>
        </w:rPr>
        <w:t>Quatre principes.</w:t>
      </w:r>
    </w:p>
    <w:bookmarkEnd w:id="1"/>
    <w:p w14:paraId="05DD8BA5" w14:textId="77777777" w:rsidR="00D8541F" w:rsidRPr="00D8541F" w:rsidRDefault="00D8541F" w:rsidP="00D8541F">
      <w:pPr>
        <w:pStyle w:val="Sansinterligne"/>
        <w:jc w:val="both"/>
        <w:rPr>
          <w:rFonts w:asciiTheme="majorBidi" w:hAnsiTheme="majorBidi" w:cstheme="majorBidi"/>
          <w:i/>
          <w:iCs/>
          <w:sz w:val="22"/>
          <w:szCs w:val="22"/>
        </w:rPr>
      </w:pPr>
      <w:r w:rsidRPr="00D8541F">
        <w:rPr>
          <w:rFonts w:asciiTheme="majorBidi" w:hAnsiTheme="majorBidi" w:cstheme="majorBidi"/>
          <w:i/>
          <w:iCs/>
          <w:sz w:val="22"/>
          <w:szCs w:val="22"/>
        </w:rPr>
        <w:t>Une lutte et plus encore un mouvement social est un conflit social défini et limité par un enjeu culturel commun aux adversaires en présence. Notre objectif doit donc être de construire une situation de recherche qui représente cette nature des luttes. S'enfermer dans la conscience des acteurs ou au contraire s'en échapper pour situer et expliquer les conduites à partir d'une situation et de son évolution serait contradictoire avec l'objet même de la recherche. Ce qui conduit à poser quatre exigences et à les traduire en pratiques de recherche.</w:t>
      </w:r>
    </w:p>
    <w:p w14:paraId="1F42FD6E" w14:textId="77777777" w:rsidR="00D8541F" w:rsidRPr="00D8541F" w:rsidRDefault="00D8541F" w:rsidP="00D8541F">
      <w:pPr>
        <w:pStyle w:val="Sansinterligne"/>
        <w:jc w:val="both"/>
        <w:rPr>
          <w:rFonts w:asciiTheme="majorBidi" w:hAnsiTheme="majorBidi" w:cstheme="majorBidi"/>
          <w:i/>
          <w:iCs/>
          <w:sz w:val="22"/>
          <w:szCs w:val="22"/>
        </w:rPr>
      </w:pPr>
    </w:p>
    <w:p w14:paraId="6801192F" w14:textId="77777777" w:rsidR="00D8541F" w:rsidRPr="00D8541F" w:rsidRDefault="00D8541F" w:rsidP="00D8541F">
      <w:pPr>
        <w:pStyle w:val="Sansinterligne"/>
        <w:jc w:val="both"/>
        <w:rPr>
          <w:rFonts w:asciiTheme="majorBidi" w:hAnsiTheme="majorBidi" w:cstheme="majorBidi"/>
          <w:i/>
          <w:iCs/>
          <w:sz w:val="22"/>
          <w:szCs w:val="22"/>
        </w:rPr>
      </w:pPr>
      <w:r w:rsidRPr="00D8541F">
        <w:rPr>
          <w:rFonts w:asciiTheme="majorBidi" w:hAnsiTheme="majorBidi" w:cstheme="majorBidi"/>
          <w:i/>
          <w:iCs/>
          <w:sz w:val="22"/>
          <w:szCs w:val="22"/>
        </w:rPr>
        <w:t>1. La première et la plus fondamentale est d'entrer en relation avec le mouvement social lui-même. Nous ne pouvons pas nous contenter d'étudier des actes ou des pensées ; nous devons croiser notre regard avec celui du mouvement social lui-même. Il est fréquent que l'acteur devienne mémorialiste, historien ou sociologue ; [185] dans l'intervention au contraire l'acteur reste un acteur. Les militants y participent parce qu'ils la jugent utile pour le mouvement. C'est ainsi que des militants étudiants bordelais firent déplacer une réunion du Comité de ville de leur organisation pour pouvoir participer à un de nos week-ends de travail. Dans le mouvement antinucléaire une véritable demande d'intervention a été formulée. Parce que notre analyse considère des conduites collectives, elle porte sur des groupes de militants qui ont tous conscience d'appartenir à un mouvement, de représenter une population concernée, au-delà du cercle plus étroit des militants. Les groupes avec lesquels est menée l'intervention ne sont donc pas de simples groupes d'opinion, des clubs de pensée. Ils réunissent des participants à une pratique collective conflictuelle.</w:t>
      </w:r>
    </w:p>
    <w:p w14:paraId="0D301112" w14:textId="77777777" w:rsidR="00D8541F" w:rsidRPr="00D8541F" w:rsidRDefault="00D8541F" w:rsidP="00D8541F">
      <w:pPr>
        <w:pStyle w:val="Sansinterligne"/>
        <w:jc w:val="both"/>
        <w:rPr>
          <w:rFonts w:asciiTheme="majorBidi" w:hAnsiTheme="majorBidi" w:cstheme="majorBidi"/>
          <w:i/>
          <w:iCs/>
          <w:sz w:val="22"/>
          <w:szCs w:val="22"/>
        </w:rPr>
      </w:pPr>
      <w:r w:rsidRPr="00D8541F">
        <w:rPr>
          <w:rFonts w:asciiTheme="majorBidi" w:hAnsiTheme="majorBidi" w:cstheme="majorBidi"/>
          <w:i/>
          <w:iCs/>
          <w:sz w:val="22"/>
          <w:szCs w:val="22"/>
        </w:rPr>
        <w:t>Constitués par nous, les groupes savent que leur raison d'être est l'intervention mais ils se considèrent constamment comme des acteurs historiques et comme des représentants d'acteurs réels ou virtuels plus vastes qu'eux.</w:t>
      </w:r>
    </w:p>
    <w:p w14:paraId="080B8FB9" w14:textId="77777777" w:rsidR="00D8541F" w:rsidRPr="00D8541F" w:rsidRDefault="00D8541F" w:rsidP="00D8541F">
      <w:pPr>
        <w:pStyle w:val="Sansinterligne"/>
        <w:jc w:val="both"/>
        <w:rPr>
          <w:rFonts w:asciiTheme="majorBidi" w:hAnsiTheme="majorBidi" w:cstheme="majorBidi"/>
          <w:i/>
          <w:iCs/>
          <w:sz w:val="22"/>
          <w:szCs w:val="22"/>
        </w:rPr>
      </w:pPr>
    </w:p>
    <w:p w14:paraId="3E9557D1" w14:textId="77777777" w:rsidR="00D8541F" w:rsidRPr="00D8541F" w:rsidRDefault="00D8541F" w:rsidP="00D8541F">
      <w:pPr>
        <w:pStyle w:val="Sansinterligne"/>
        <w:jc w:val="both"/>
        <w:rPr>
          <w:rFonts w:asciiTheme="majorBidi" w:hAnsiTheme="majorBidi" w:cstheme="majorBidi"/>
          <w:i/>
          <w:iCs/>
          <w:sz w:val="22"/>
          <w:szCs w:val="22"/>
        </w:rPr>
      </w:pPr>
      <w:r w:rsidRPr="00D8541F">
        <w:rPr>
          <w:rFonts w:asciiTheme="majorBidi" w:hAnsiTheme="majorBidi" w:cstheme="majorBidi"/>
          <w:i/>
          <w:iCs/>
          <w:sz w:val="22"/>
          <w:szCs w:val="22"/>
        </w:rPr>
        <w:t xml:space="preserve">2. La deuxième est d'aller au-delà d'un discours idéologique et de saisir le groupe dans son rôle militant. C'est pourquoi presque dès le début il est confronté avec des interlocuteurs ; sa réflexion sur lui-même et son action ne se forme qu'à partir de ces rencontres, souvent plus directes qu'au cours du conflit lui-même. Il est nécessaire que ces confrontations aient lieu non seulement avec des adversaires </w:t>
      </w:r>
      <w:r w:rsidRPr="00D8541F">
        <w:rPr>
          <w:rFonts w:asciiTheme="majorBidi" w:hAnsiTheme="majorBidi" w:cstheme="majorBidi"/>
          <w:i/>
          <w:iCs/>
          <w:sz w:val="22"/>
          <w:szCs w:val="22"/>
        </w:rPr>
        <w:lastRenderedPageBreak/>
        <w:t>mais aussi bien avec des représentants d'autres niveaux d'action du mouvement lui-même, soit avec des dirigeants, soit au contraire avec des participants de base. Les chercheurs interviennent relativement peu dans ces confrontations.</w:t>
      </w:r>
    </w:p>
    <w:p w14:paraId="0256BBD4" w14:textId="77777777" w:rsidR="00D8541F" w:rsidRPr="00D8541F" w:rsidRDefault="00D8541F" w:rsidP="00D8541F">
      <w:pPr>
        <w:pStyle w:val="Sansinterligne"/>
        <w:jc w:val="both"/>
        <w:rPr>
          <w:rFonts w:asciiTheme="majorBidi" w:hAnsiTheme="majorBidi" w:cstheme="majorBidi"/>
          <w:i/>
          <w:iCs/>
          <w:sz w:val="22"/>
          <w:szCs w:val="22"/>
        </w:rPr>
      </w:pPr>
    </w:p>
    <w:p w14:paraId="547071C1" w14:textId="77777777" w:rsidR="00D8541F" w:rsidRPr="00D8541F" w:rsidRDefault="00D8541F" w:rsidP="00D8541F">
      <w:pPr>
        <w:pStyle w:val="Sansinterligne"/>
        <w:jc w:val="both"/>
        <w:rPr>
          <w:rFonts w:asciiTheme="majorBidi" w:hAnsiTheme="majorBidi" w:cstheme="majorBidi"/>
          <w:i/>
          <w:iCs/>
          <w:sz w:val="22"/>
          <w:szCs w:val="22"/>
        </w:rPr>
      </w:pPr>
      <w:r w:rsidRPr="00D8541F">
        <w:rPr>
          <w:rFonts w:asciiTheme="majorBidi" w:hAnsiTheme="majorBidi" w:cstheme="majorBidi"/>
          <w:i/>
          <w:iCs/>
          <w:sz w:val="22"/>
          <w:szCs w:val="22"/>
        </w:rPr>
        <w:t>3. S'il est assez facile d'introduire ainsi deux des trois composantes d'un mouvement social, le principe d'identité (1) et le principe d'opposition (0), il est plus difficile de faire intervenir l'enjeu que se disputent les adversaires, le principe de totalité (T). Celui-ci ne peut être figuré que par les chercheurs eux-mêmes. De même que la confrontation représente la dimension 1-0 d'un mouvement social, de même la rencontre avec les chercheurs [186] en représente la dimension I-T, car le chercheur fait apparaître l'enjeu d'un conflit et ne peut être identifié ni à l'acteur ni encore moins à son adversaire. Si le chercheur s'identifie aux militants, il se réduit à n'être qu'un idéologue ou plutôt un doctrinaire, puisqu'il construit un discours second à partir d'une idéologie. Au contraire il doit être celui par qui le mouvement social est mis en situation, celui qui parle aux militants et à l'adversaire, celui surtout qui cherche à faire apparaître le mouvement social dans la lutte, donc à dégager l'enjeu social et culturel du conflit. Au départ cette présence de T n'est qu'indirecte, indiquée par la référence à la recherche. Elle devient de plus en plus directe au long de l'intervention. Le moment suprême de celle qui a été consacrée au mouvement étudiant fut dominé par un long débat entre des militants et le responsable de la recherche qui introduisait avec force dans le groupe le thème de la connaissance et de son utilisation sociale, seul enjeu, selon lui, qui puisse élever la lutte étudiante au niveau d'un mouvement social.</w:t>
      </w:r>
    </w:p>
    <w:p w14:paraId="78C8ECBA" w14:textId="77777777" w:rsidR="00D8541F" w:rsidRPr="00D8541F" w:rsidRDefault="00D8541F" w:rsidP="00D8541F">
      <w:pPr>
        <w:pStyle w:val="Sansinterligne"/>
        <w:jc w:val="both"/>
        <w:rPr>
          <w:rFonts w:asciiTheme="majorBidi" w:hAnsiTheme="majorBidi" w:cstheme="majorBidi"/>
          <w:i/>
          <w:iCs/>
          <w:sz w:val="22"/>
          <w:szCs w:val="22"/>
        </w:rPr>
      </w:pPr>
    </w:p>
    <w:p w14:paraId="4F2E96D4" w14:textId="77777777" w:rsidR="00D8541F" w:rsidRPr="00D8541F" w:rsidRDefault="00D8541F" w:rsidP="00D8541F">
      <w:pPr>
        <w:pStyle w:val="Sansinterligne"/>
        <w:jc w:val="both"/>
        <w:rPr>
          <w:rFonts w:asciiTheme="majorBidi" w:hAnsiTheme="majorBidi" w:cstheme="majorBidi"/>
          <w:i/>
          <w:iCs/>
          <w:sz w:val="22"/>
          <w:szCs w:val="22"/>
        </w:rPr>
      </w:pPr>
      <w:r w:rsidRPr="00D8541F">
        <w:rPr>
          <w:rFonts w:asciiTheme="majorBidi" w:hAnsiTheme="majorBidi" w:cstheme="majorBidi"/>
          <w:i/>
          <w:iCs/>
          <w:sz w:val="22"/>
          <w:szCs w:val="22"/>
        </w:rPr>
        <w:t>4. Ainsi constitué le groupe peut se conduire comme manifestation d'une lutte ou d'un mouvement social. Il le fait en menant son auto-analyse, en remplaçant l'action par l'analyse de la situation d'action reconstituée par l'intervention. L'analyse devient action militante et le chercheur apprend à connaître le mouvement en participant au travail d'analyse du groupe. Ce travail d'analyse ne se confond donc pas avec l'interprétation du sociologue et celui-ci ne peut pas devenir un membre comme les autres du groupe, car celui-ci ne cesse pas d'être militant ; ses catégories d'analyse restent liées à celles de l'action, tandis que le sociologue transcrit ses observations dans les catégories de la théorie de l'action sociale. Cette extériorité du chercheur n'exclut pourtant pas son engagement. Il n'est pas un militant mais son indépendance est mise au service de la distance indispensable à la découverte d'un mouvement social au sein de luttes plus revendicatives ou plus révoltées.</w:t>
      </w:r>
    </w:p>
    <w:p w14:paraId="495D1536" w14:textId="77777777" w:rsidR="00D8541F" w:rsidRPr="00D8541F" w:rsidRDefault="00D8541F" w:rsidP="00D8541F">
      <w:pPr>
        <w:pStyle w:val="Sansinterligne"/>
        <w:jc w:val="both"/>
        <w:rPr>
          <w:rFonts w:asciiTheme="majorBidi" w:hAnsiTheme="majorBidi" w:cstheme="majorBidi"/>
          <w:i/>
          <w:iCs/>
          <w:sz w:val="22"/>
          <w:szCs w:val="22"/>
        </w:rPr>
      </w:pPr>
      <w:r w:rsidRPr="00D8541F">
        <w:rPr>
          <w:rFonts w:asciiTheme="majorBidi" w:hAnsiTheme="majorBidi" w:cstheme="majorBidi"/>
          <w:i/>
          <w:iCs/>
          <w:sz w:val="22"/>
          <w:szCs w:val="22"/>
        </w:rPr>
        <w:t>La méthode imaginée associe donc très étroitement l'autoanalyse d'un groupe militant et l'intervention d'un sociologue conduit par ses hypothèses théoriques. Ce qui est aussi éloigné d'une démarche expérimentale que d'un acte de sympathie ou [187] de fusion. Cette dualité ne peut jamais se dissoudre dans une intégration complète. Ce qui impose de séparer les deux fonctions du chercheur. L'une, que je nomme celle de l'agitateur, aide l'auto-analyse, renforce le groupe, organise et anime les confrontations avec les interlocuteurs, explicite les débats du groupe. L'autre, que je nomme celle du secrétaire, parce que le chercheur qui l'assure se contente d'abord d'enregistrer le contenu des séances, consiste à interroger de plus en plus le groupe de manière critique en conservant une plus grande extériorité à son égard. L'important est de distinguer ces fonctions, même si elles peuvent se combiner de bien des manières.</w:t>
      </w:r>
    </w:p>
    <w:p w14:paraId="251D1833" w14:textId="0FD03BCB" w:rsidR="00DC3BC3" w:rsidRPr="00D8541F" w:rsidRDefault="00D8541F" w:rsidP="00D8541F">
      <w:pPr>
        <w:pStyle w:val="Sansinterligne"/>
        <w:jc w:val="both"/>
        <w:rPr>
          <w:rFonts w:asciiTheme="majorBidi" w:hAnsiTheme="majorBidi" w:cstheme="majorBidi"/>
          <w:i/>
          <w:iCs/>
          <w:sz w:val="22"/>
          <w:szCs w:val="22"/>
        </w:rPr>
      </w:pPr>
      <w:r w:rsidRPr="00D8541F">
        <w:rPr>
          <w:rFonts w:asciiTheme="majorBidi" w:hAnsiTheme="majorBidi" w:cstheme="majorBidi"/>
          <w:i/>
          <w:iCs/>
          <w:sz w:val="22"/>
          <w:szCs w:val="22"/>
        </w:rPr>
        <w:t>L'association de l'auto-analyse et de l'intervention est fondamentale. Il ne s'agit ni d'écouter une idéologie ni de la recouvrir par un discours interprétatif. Les acteurs, en participant aux groupes d'intervention, prennent, à l'égard de leur pratique, une distance qui est matérialisée par celle qu'ils constatent eux-mêmes entre leur idéologie, l'image d'eux-mêmes que leur renvoient leurs adversaires ou leurs partenaires et la diversité de leurs propres déclarations. Ils cherchent à comprendre les positions de leurs interlocuteurs et à les intégrer dans une analyse de leur propre action. L'histoire de l'intervention est celle d'une montée vers l'analyse à partir de l'expérience historique et de la redescente vers l'interprétation du groupe d'intervention lui-même. Le groupe voit d'abord se déployer devant lui diverses significations de son action ; puis il s'élève par paliers vers l'interprétation théorique centrale : qu'y a-t-il de mouvement social dans cette action ? et le chercheur intervient directement dans ce passage à l'analyse ; enfin le chercheur puis le groupe lui-même interprètent ce qui s'est passé pendant l'intervention. Ainsi celle-ci est loin de se réduire à une technique. Elle n'est pas un type particulier d'entretien de groupe. La méthode et sa mise en œuvre technique ne sont pas séparables d'une démarche analytique : elles sont la pratique d'une théorie. Elles n'auraient pas été conçues sans celle-ci ; elles sont l’action d'une sociologie qui est elle-même une sociologie de l'action.</w:t>
      </w:r>
    </w:p>
    <w:sectPr w:rsidR="00DC3BC3" w:rsidRPr="00D85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1F"/>
    <w:rsid w:val="00AD46E8"/>
    <w:rsid w:val="00D8541F"/>
    <w:rsid w:val="00DC3B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52B98C"/>
  <w15:chartTrackingRefBased/>
  <w15:docId w15:val="{40B7EDF0-035A-497A-B5F0-F3689C9C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1F"/>
    <w:pPr>
      <w:spacing w:after="0" w:line="240" w:lineRule="auto"/>
      <w:ind w:firstLine="360"/>
    </w:pPr>
    <w:rPr>
      <w:rFonts w:ascii="Comic Sans MS" w:eastAsia="Times New Roman" w:hAnsi="Comic Sans MS" w:cs="Times New Roman"/>
      <w:sz w:val="24"/>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D8541F"/>
    <w:rPr>
      <w:color w:val="0000FF"/>
      <w:u w:val="single"/>
    </w:rPr>
  </w:style>
  <w:style w:type="paragraph" w:customStyle="1" w:styleId="Niveau12">
    <w:name w:val="Niveau 1.2"/>
    <w:basedOn w:val="Normal"/>
    <w:autoRedefine/>
    <w:rsid w:val="00D8541F"/>
    <w:pPr>
      <w:ind w:firstLine="0"/>
      <w:jc w:val="center"/>
    </w:pPr>
    <w:rPr>
      <w:b/>
      <w:i/>
      <w:color w:val="000080"/>
      <w:sz w:val="28"/>
    </w:rPr>
  </w:style>
  <w:style w:type="paragraph" w:customStyle="1" w:styleId="Titreniveau1">
    <w:name w:val="Titre niveau 1"/>
    <w:basedOn w:val="Normal"/>
    <w:autoRedefine/>
    <w:rsid w:val="00D8541F"/>
    <w:pPr>
      <w:pBdr>
        <w:bottom w:val="single" w:sz="4" w:space="1" w:color="auto"/>
      </w:pBdr>
      <w:ind w:left="1440" w:right="1440" w:firstLine="0"/>
      <w:jc w:val="center"/>
    </w:pPr>
    <w:rPr>
      <w:color w:val="FF0000"/>
      <w:sz w:val="60"/>
    </w:rPr>
  </w:style>
  <w:style w:type="paragraph" w:customStyle="1" w:styleId="Titreniveau2">
    <w:name w:val="Titre niveau 2"/>
    <w:basedOn w:val="Titreniveau1"/>
    <w:autoRedefine/>
    <w:rsid w:val="00D8541F"/>
    <w:pPr>
      <w:widowControl w:val="0"/>
      <w:pBdr>
        <w:bottom w:val="none" w:sz="0" w:space="0" w:color="auto"/>
      </w:pBdr>
      <w:ind w:left="0" w:right="0"/>
    </w:pPr>
    <w:rPr>
      <w:color w:val="800000"/>
      <w:sz w:val="48"/>
    </w:rPr>
  </w:style>
  <w:style w:type="paragraph" w:styleId="Sansinterligne">
    <w:name w:val="No Spacing"/>
    <w:uiPriority w:val="1"/>
    <w:qFormat/>
    <w:rsid w:val="00D8541F"/>
    <w:pPr>
      <w:spacing w:after="0" w:line="240" w:lineRule="auto"/>
      <w:ind w:firstLine="360"/>
    </w:pPr>
    <w:rPr>
      <w:rFonts w:ascii="Comic Sans MS" w:eastAsia="Times New Roman" w:hAnsi="Comic Sans MS" w:cs="Times New Roman"/>
      <w:sz w:val="24"/>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5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2351</Words>
  <Characters>12936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HDz</dc:creator>
  <cp:keywords/>
  <dc:description/>
  <cp:lastModifiedBy>HDz</cp:lastModifiedBy>
  <cp:revision>1</cp:revision>
  <dcterms:created xsi:type="dcterms:W3CDTF">2020-10-15T18:33:00Z</dcterms:created>
  <dcterms:modified xsi:type="dcterms:W3CDTF">2020-10-16T15:23:00Z</dcterms:modified>
</cp:coreProperties>
</file>