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F1" w:rsidRDefault="00B34CBD" w:rsidP="00B34CB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4CBD">
        <w:rPr>
          <w:rFonts w:asciiTheme="majorBidi" w:hAnsiTheme="majorBidi" w:cstheme="majorBidi"/>
          <w:b/>
          <w:bCs/>
          <w:sz w:val="24"/>
          <w:szCs w:val="24"/>
        </w:rPr>
        <w:t>Les connecteurs</w:t>
      </w:r>
    </w:p>
    <w:p w:rsidR="00B34CBD" w:rsidRDefault="00B34CBD" w:rsidP="00B34CB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Définition :</w:t>
      </w:r>
    </w:p>
    <w:p w:rsidR="00B34CBD" w:rsidRPr="00B34CBD" w:rsidRDefault="00B34CBD" w:rsidP="00B34CBD">
      <w:pPr>
        <w:tabs>
          <w:tab w:val="left" w:pos="1134"/>
        </w:tabs>
        <w:spacing w:after="0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Les connecteurs </w:t>
      </w:r>
      <w:r w:rsidRPr="00B34CBD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sont </w:t>
      </w: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des </w:t>
      </w:r>
      <w:r w:rsidRPr="00B34CBD">
        <w:rPr>
          <w:rStyle w:val="estilo31"/>
          <w:rFonts w:asciiTheme="majorBidi" w:hAnsiTheme="majorBidi" w:cstheme="majorBidi"/>
          <w:i/>
          <w:iCs/>
          <w:sz w:val="24"/>
          <w:szCs w:val="24"/>
        </w:rPr>
        <w:t>mots de liaison</w:t>
      </w:r>
      <w:r w:rsidRPr="00B34CBD">
        <w:rPr>
          <w:rStyle w:val="estilo31"/>
          <w:rFonts w:asciiTheme="majorBidi" w:hAnsiTheme="majorBidi" w:cstheme="majorBidi"/>
          <w:sz w:val="24"/>
          <w:szCs w:val="24"/>
        </w:rPr>
        <w:t xml:space="preserve"> ou </w:t>
      </w:r>
      <w:r w:rsidRPr="00B34CBD">
        <w:rPr>
          <w:rStyle w:val="estilo31"/>
          <w:rFonts w:asciiTheme="majorBidi" w:hAnsiTheme="majorBidi" w:cstheme="majorBidi"/>
          <w:i/>
          <w:iCs/>
          <w:sz w:val="24"/>
          <w:szCs w:val="24"/>
        </w:rPr>
        <w:t>marqueurs de relation</w:t>
      </w:r>
      <w:r w:rsidRPr="00B34CBD">
        <w:rPr>
          <w:rStyle w:val="estilo31"/>
          <w:rFonts w:asciiTheme="majorBidi" w:hAnsiTheme="majorBidi" w:cstheme="majorBidi"/>
          <w:sz w:val="24"/>
          <w:szCs w:val="24"/>
        </w:rPr>
        <w:t xml:space="preserve"> ou </w:t>
      </w:r>
      <w:r w:rsidRPr="00B34CBD">
        <w:rPr>
          <w:rStyle w:val="estilo31"/>
          <w:rFonts w:asciiTheme="majorBidi" w:hAnsiTheme="majorBidi" w:cstheme="majorBidi"/>
          <w:i/>
          <w:iCs/>
          <w:sz w:val="24"/>
          <w:szCs w:val="24"/>
        </w:rPr>
        <w:t>mots charnières</w:t>
      </w:r>
      <w:r>
        <w:rPr>
          <w:rStyle w:val="estilo31"/>
          <w:rFonts w:ascii="Century Gothic" w:hAnsi="Century Gothic"/>
        </w:rPr>
        <w:t xml:space="preserve">. Ils </w:t>
      </w:r>
      <w:proofErr w:type="spellStart"/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appartiènne</w:t>
      </w:r>
      <w:r w:rsidRPr="00B34CBD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nt</w:t>
      </w:r>
      <w:proofErr w:type="spellEnd"/>
      <w:r w:rsidRPr="00B34CBD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 principalement à trois catégories syntaxiques: </w:t>
      </w:r>
    </w:p>
    <w:p w:rsidR="00B34CBD" w:rsidRDefault="00B34CBD" w:rsidP="00B34CBD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</w:pPr>
      <w:r w:rsidRPr="00B34CBD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  <w:t>* les conjonctio</w:t>
      </w:r>
      <w:r w:rsidR="00250170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  <w:t xml:space="preserve">ns et locutions conjonctives </w:t>
      </w:r>
      <w:r w:rsidR="00250170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  <w:br/>
        <w:t>*</w:t>
      </w:r>
      <w:r w:rsidRPr="00B34CBD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  <w:t>les prépositions et locutions prépositionnelles</w:t>
      </w:r>
      <w:r w:rsidRPr="00B34CBD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  <w:br/>
        <w:t xml:space="preserve">* les adverbes et locutions adverbiales </w:t>
      </w:r>
    </w:p>
    <w:p w:rsidR="00B34CBD" w:rsidRPr="00B34CBD" w:rsidRDefault="00B34CBD" w:rsidP="00EA17E5">
      <w:pPr>
        <w:spacing w:after="100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 w:rsidRPr="00B34CBD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Que ce soit au niveau de la phrase simple, de la phrase complexe ou de l'enchaînement des paragraphes dans le texte, les  con</w:t>
      </w:r>
      <w:r w:rsidR="00EA17E5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n</w:t>
      </w:r>
      <w:r w:rsidRPr="00B34CBD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ecteurs établissent entre les éléments reliés une relation logique et une nuance de sens précise (opposition, cause, conséquence, temps, condition, opposition, comparaison, but, </w:t>
      </w:r>
      <w:r w:rsidR="00EA17E5" w:rsidRPr="00B34CBD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etc.</w:t>
      </w:r>
      <w:r w:rsidR="00EA17E5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)</w:t>
      </w:r>
    </w:p>
    <w:p w:rsidR="00FB3368" w:rsidRDefault="0036122E" w:rsidP="00FB3368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 w:rsidRPr="0036122E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Il y a différentes façons </w:t>
      </w: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de lier deux phrases : </w:t>
      </w:r>
      <w:r w:rsidR="00B7329C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par une conjonction de subordination ou par un </w:t>
      </w:r>
    </w:p>
    <w:p w:rsidR="00B34CBD" w:rsidRDefault="00250170" w:rsidP="00FB3368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proofErr w:type="gramStart"/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c</w:t>
      </w:r>
      <w:r w:rsidR="00FB3368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onnecteur</w:t>
      </w:r>
      <w:proofErr w:type="gramEnd"/>
      <w:r w:rsidR="00B7329C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 </w:t>
      </w:r>
      <w:r w:rsidR="00FB3368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 </w:t>
      </w:r>
      <w:r w:rsidR="00B7329C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non subordonnant, précédé ou non d’un point ou d’une virgule.</w:t>
      </w:r>
    </w:p>
    <w:p w:rsidR="00B7329C" w:rsidRDefault="00B7329C" w:rsidP="00B34CBD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Exemple </w:t>
      </w:r>
      <w:r w:rsidR="00720539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1</w:t>
      </w: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: Reliez les deux phrases suivantes par une conjonction de subordination, puis par un connecteur non subordonnant précédé d’un point.</w:t>
      </w:r>
    </w:p>
    <w:p w:rsidR="00B7329C" w:rsidRDefault="00B7329C" w:rsidP="00B7329C">
      <w:pPr>
        <w:pStyle w:val="Paragraphedeliste"/>
        <w:numPr>
          <w:ilvl w:val="0"/>
          <w:numId w:val="1"/>
        </w:num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La vie à la campagne est agréable</w:t>
      </w:r>
    </w:p>
    <w:p w:rsidR="00B7329C" w:rsidRDefault="00B7329C" w:rsidP="00B7329C">
      <w:pPr>
        <w:pStyle w:val="Paragraphedeliste"/>
        <w:numPr>
          <w:ilvl w:val="0"/>
          <w:numId w:val="1"/>
        </w:num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Elle est parfois difficile</w:t>
      </w:r>
    </w:p>
    <w:p w:rsidR="00B7329C" w:rsidRDefault="00B7329C" w:rsidP="00720539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Exemple de réponse : </w:t>
      </w:r>
      <w:r w:rsidR="00720539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(</w:t>
      </w: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La vie à la campagne est agréable </w:t>
      </w:r>
      <w:r w:rsidRPr="00250170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  <w:t>bien qu’elle soit</w:t>
      </w: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 parfois difficile  </w:t>
      </w:r>
      <w:r w:rsidR="00720539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La        </w:t>
      </w: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vie à la campagne  est agréable. </w:t>
      </w:r>
      <w:r w:rsidRPr="00250170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lang w:eastAsia="fr-FR"/>
        </w:rPr>
        <w:t xml:space="preserve">Pourtant </w:t>
      </w: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 elle est quelquefois difficile.</w:t>
      </w:r>
      <w:r w:rsidR="00720539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)</w:t>
      </w:r>
    </w:p>
    <w:p w:rsidR="00720539" w:rsidRDefault="00720539" w:rsidP="00720539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Exemple 2 : Reliez les deux phrases suivantes en utilisant : </w:t>
      </w:r>
    </w:p>
    <w:p w:rsidR="00720539" w:rsidRDefault="00720539" w:rsidP="00720539">
      <w:pPr>
        <w:pStyle w:val="Paragraphedeliste"/>
        <w:numPr>
          <w:ilvl w:val="0"/>
          <w:numId w:val="2"/>
        </w:num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Un connecteur non subordonnant précédé d’un point</w:t>
      </w:r>
    </w:p>
    <w:p w:rsidR="00720539" w:rsidRDefault="00720539" w:rsidP="00720539">
      <w:pPr>
        <w:pStyle w:val="Paragraphedeliste"/>
        <w:numPr>
          <w:ilvl w:val="0"/>
          <w:numId w:val="2"/>
        </w:num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Un connecteur subordonnant</w:t>
      </w:r>
    </w:p>
    <w:p w:rsidR="00720539" w:rsidRDefault="00720539" w:rsidP="00720539">
      <w:pPr>
        <w:pStyle w:val="Paragraphedeliste"/>
        <w:numPr>
          <w:ilvl w:val="0"/>
          <w:numId w:val="2"/>
        </w:num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Un pronom relatif</w:t>
      </w:r>
    </w:p>
    <w:p w:rsidR="00720539" w:rsidRDefault="00720539" w:rsidP="00100A74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 w:rsidRPr="00100A74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La publicité utilise souvent des gens âgées pour vanter les mérites d’un produit</w:t>
      </w:r>
    </w:p>
    <w:p w:rsidR="00100A74" w:rsidRDefault="00100A74" w:rsidP="00100A74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Le troisième âge est devenu un marché commercial important.</w:t>
      </w:r>
    </w:p>
    <w:p w:rsidR="009837ED" w:rsidRDefault="00100A74" w:rsidP="00100A74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Exemple </w:t>
      </w:r>
      <w:r w:rsidR="009837ED"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de réponse :</w:t>
      </w:r>
    </w:p>
    <w:p w:rsidR="00100A74" w:rsidRDefault="009837ED" w:rsidP="00100A74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 xml:space="preserve"> - la publicité utilise souvent les gens âgées pour vanter les mérites d’un produit car le troisième âge est devenu un marché commercial important.</w:t>
      </w:r>
    </w:p>
    <w:p w:rsidR="009837ED" w:rsidRDefault="009837ED" w:rsidP="00100A74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- La publicité utilise souvent les gens âgées pour vanter les mérites d’un produit. En effet, le troisième âge est devenu un marché commercial important.</w:t>
      </w:r>
    </w:p>
    <w:p w:rsidR="00FB3368" w:rsidRDefault="00FB3368" w:rsidP="00100A74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- La publicité utilise souvent les gens âgées pour vanter les mérites d’un produit parce que le troisième âge est devenu un marché commercial important.</w:t>
      </w:r>
    </w:p>
    <w:p w:rsidR="00FB3368" w:rsidRDefault="00FB3368" w:rsidP="00100A74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  <w:t>- La publicité utilise souvent les gens âgées qui représentent un marché commercial important pour vanter les mérites d’un produit.</w:t>
      </w:r>
    </w:p>
    <w:p w:rsidR="00250170" w:rsidRDefault="00250170" w:rsidP="00100A74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66"/>
          <w:sz w:val="24"/>
          <w:szCs w:val="24"/>
          <w:lang w:eastAsia="fr-FR"/>
        </w:rPr>
      </w:pPr>
    </w:p>
    <w:p w:rsidR="00250170" w:rsidRDefault="00250170" w:rsidP="0025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Les relations logiques</w:t>
      </w:r>
    </w:p>
    <w:p w:rsidR="00A90569" w:rsidRDefault="00A90569" w:rsidP="0025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50170" w:rsidRDefault="00250170" w:rsidP="0025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sont les liens qu'entretiennent les idées entre-elles dans un texte argumentatif ; ils peuvent</w:t>
      </w:r>
    </w:p>
    <w:p w:rsidR="00250170" w:rsidRDefault="00250170" w:rsidP="00A90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être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explicites ou implicites. Ces relations (</w:t>
      </w:r>
      <w:r>
        <w:rPr>
          <w:rFonts w:ascii="Times New Roman" w:hAnsi="Times New Roman" w:cs="Times New Roman"/>
          <w:b/>
          <w:bCs/>
          <w:sz w:val="24"/>
          <w:szCs w:val="24"/>
        </w:rPr>
        <w:t>liens</w:t>
      </w:r>
      <w:r>
        <w:rPr>
          <w:rFonts w:ascii="Times New Roman" w:hAnsi="Times New Roman" w:cs="Times New Roman"/>
          <w:sz w:val="24"/>
          <w:szCs w:val="24"/>
        </w:rPr>
        <w:t>) logiques peuvent être de nature différente afin</w:t>
      </w:r>
      <w:r w:rsidR="00A9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d'exprimer les nuances de la pensée.</w:t>
      </w:r>
    </w:p>
    <w:p w:rsidR="00A90569" w:rsidRDefault="00A90569" w:rsidP="00A90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170" w:rsidRPr="00A90569" w:rsidRDefault="00250170" w:rsidP="00A9056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Les relations exprimées explicitement</w:t>
      </w:r>
    </w:p>
    <w:p w:rsidR="00A90569" w:rsidRPr="00A90569" w:rsidRDefault="00A90569" w:rsidP="00A9056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70" w:rsidRDefault="00250170" w:rsidP="00A90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raisonnement consiste en une suite de propositions déduites les unes des autres dans le but de</w:t>
      </w:r>
      <w:r w:rsidR="00A9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faire adhérer quelqu'un à son opinion. Quelque soit la nature de l'argumentation, il s'appuie sur</w:t>
      </w:r>
      <w:r w:rsidR="00A9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une démarche logique et explicite.</w:t>
      </w:r>
      <w:r w:rsidR="00A9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peut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alors, soit suivre une progression, soit marquer des ruptures, faisant preuve ainsi soit de</w:t>
      </w:r>
      <w:r w:rsidR="00A9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fluidité et de cohérence, soit de heurts et d'irrégularité.</w:t>
      </w:r>
    </w:p>
    <w:p w:rsidR="00A90569" w:rsidRDefault="00A90569" w:rsidP="00A90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2976"/>
        <w:gridCol w:w="2300"/>
      </w:tblGrid>
      <w:tr w:rsidR="00A90569" w:rsidTr="008E6ED2">
        <w:tc>
          <w:tcPr>
            <w:tcW w:w="9212" w:type="dxa"/>
            <w:gridSpan w:val="3"/>
          </w:tcPr>
          <w:p w:rsidR="00A90569" w:rsidRPr="00A90569" w:rsidRDefault="00A90569" w:rsidP="00A905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0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raisonnement suit une progres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A90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ion</w:t>
            </w:r>
          </w:p>
        </w:tc>
      </w:tr>
      <w:tr w:rsidR="00A90569" w:rsidTr="00A90569">
        <w:tc>
          <w:tcPr>
            <w:tcW w:w="3936" w:type="dxa"/>
          </w:tcPr>
          <w:p w:rsidR="00A90569" w:rsidRDefault="00A90569" w:rsidP="00A905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Connecteurs logiques</w:t>
            </w:r>
          </w:p>
        </w:tc>
        <w:tc>
          <w:tcPr>
            <w:tcW w:w="2976" w:type="dxa"/>
          </w:tcPr>
          <w:p w:rsidR="00A90569" w:rsidRDefault="00A90569" w:rsidP="00A905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Relation logique</w:t>
            </w:r>
          </w:p>
        </w:tc>
        <w:tc>
          <w:tcPr>
            <w:tcW w:w="2300" w:type="dxa"/>
          </w:tcPr>
          <w:p w:rsidR="00A90569" w:rsidRDefault="00A90569" w:rsidP="00A905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Fonction</w:t>
            </w:r>
          </w:p>
        </w:tc>
      </w:tr>
      <w:tr w:rsidR="00A90569" w:rsidTr="00A90569">
        <w:tc>
          <w:tcPr>
            <w:tcW w:w="3936" w:type="dxa"/>
          </w:tcPr>
          <w:p w:rsidR="00A90569" w:rsidRPr="007322AC" w:rsidRDefault="00A90569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et, de plus, d'ai</w:t>
            </w:r>
            <w:r w:rsidR="007322AC">
              <w:rPr>
                <w:rFonts w:ascii="Times New Roman" w:hAnsi="Times New Roman" w:cs="Times New Roman"/>
                <w:sz w:val="24"/>
                <w:szCs w:val="24"/>
              </w:rPr>
              <w:t xml:space="preserve">lleurs, d'autre part, en outre,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puis, de surcroît</w:t>
            </w:r>
            <w:r w:rsidR="007322AC">
              <w:rPr>
                <w:rFonts w:ascii="Times New Roman" w:hAnsi="Times New Roman" w:cs="Times New Roman"/>
                <w:sz w:val="24"/>
                <w:szCs w:val="24"/>
              </w:rPr>
              <w:t>, voire, en fait, tout au moins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tout au plus</w:t>
            </w:r>
            <w:r w:rsidR="007322AC">
              <w:rPr>
                <w:rFonts w:ascii="Times New Roman" w:hAnsi="Times New Roman" w:cs="Times New Roman"/>
                <w:sz w:val="24"/>
                <w:szCs w:val="24"/>
              </w:rPr>
              <w:t xml:space="preserve">, plus exactement, à vrai dire,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encore, non seulement… mais encore…</w:t>
            </w:r>
          </w:p>
        </w:tc>
        <w:tc>
          <w:tcPr>
            <w:tcW w:w="2976" w:type="dxa"/>
          </w:tcPr>
          <w:p w:rsidR="00A90569" w:rsidRDefault="00A90569" w:rsidP="00A90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69" w:rsidRDefault="007322AC" w:rsidP="00A90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90569">
              <w:rPr>
                <w:rFonts w:ascii="Times New Roman" w:hAnsi="Times New Roman" w:cs="Times New Roman"/>
                <w:sz w:val="24"/>
                <w:szCs w:val="24"/>
              </w:rPr>
              <w:t>ddition,</w:t>
            </w:r>
          </w:p>
          <w:p w:rsidR="00A90569" w:rsidRDefault="00A90569" w:rsidP="00A905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gradation</w:t>
            </w:r>
          </w:p>
        </w:tc>
        <w:tc>
          <w:tcPr>
            <w:tcW w:w="2300" w:type="dxa"/>
          </w:tcPr>
          <w:p w:rsidR="007322AC" w:rsidRDefault="007322AC" w:rsidP="00A90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69" w:rsidRDefault="00A90569" w:rsidP="00A90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d'ajouter un</w:t>
            </w:r>
          </w:p>
          <w:p w:rsidR="00A90569" w:rsidRDefault="00A90569" w:rsidP="00A90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 ou un</w:t>
            </w:r>
          </w:p>
          <w:p w:rsidR="00A90569" w:rsidRDefault="00A90569" w:rsidP="00A9056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exemple nouveau aux précédents </w:t>
            </w:r>
          </w:p>
        </w:tc>
      </w:tr>
      <w:tr w:rsidR="00A90569" w:rsidTr="00A90569">
        <w:tc>
          <w:tcPr>
            <w:tcW w:w="3936" w:type="dxa"/>
          </w:tcPr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ainsi, c'est ainsi que, comme, c'est le cas de,</w:t>
            </w:r>
          </w:p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exemple, d'ailleurs, en particulier,</w:t>
            </w:r>
          </w:p>
          <w:p w:rsidR="00A90569" w:rsidRDefault="007322AC" w:rsidP="007322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notamment, à ce propos…</w:t>
            </w:r>
          </w:p>
        </w:tc>
        <w:tc>
          <w:tcPr>
            <w:tcW w:w="2976" w:type="dxa"/>
          </w:tcPr>
          <w:p w:rsidR="007322AC" w:rsidRDefault="007322AC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69" w:rsidRDefault="007322AC" w:rsidP="00B34C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illustration</w:t>
            </w:r>
          </w:p>
        </w:tc>
        <w:tc>
          <w:tcPr>
            <w:tcW w:w="2300" w:type="dxa"/>
          </w:tcPr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d'éclairer son</w:t>
            </w:r>
          </w:p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 ses arguments par</w:t>
            </w:r>
          </w:p>
          <w:p w:rsidR="00A90569" w:rsidRDefault="007322AC" w:rsidP="007322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 cas concrets</w:t>
            </w:r>
          </w:p>
        </w:tc>
      </w:tr>
      <w:tr w:rsidR="00A90569" w:rsidTr="00A90569">
        <w:tc>
          <w:tcPr>
            <w:tcW w:w="3936" w:type="dxa"/>
          </w:tcPr>
          <w:p w:rsidR="00A90569" w:rsidRP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réalité, c'est-à-dire, en fait, plutôt, ou,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oubien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plus exactement, à vrai dire…</w:t>
            </w:r>
          </w:p>
        </w:tc>
        <w:tc>
          <w:tcPr>
            <w:tcW w:w="2976" w:type="dxa"/>
          </w:tcPr>
          <w:p w:rsidR="007322AC" w:rsidRDefault="007322AC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90569" w:rsidRDefault="007322AC" w:rsidP="00B34C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correction</w:t>
            </w:r>
          </w:p>
        </w:tc>
        <w:tc>
          <w:tcPr>
            <w:tcW w:w="2300" w:type="dxa"/>
          </w:tcPr>
          <w:p w:rsidR="00A90569" w:rsidRP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de préciser les idées présentées</w:t>
            </w:r>
          </w:p>
        </w:tc>
      </w:tr>
      <w:tr w:rsidR="00A90569" w:rsidTr="00A90569">
        <w:tc>
          <w:tcPr>
            <w:tcW w:w="3936" w:type="dxa"/>
          </w:tcPr>
          <w:p w:rsidR="00A90569" w:rsidRP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aussi… que, si… que, comme, autant que, autant, de même que, de la même façon, parallèlement, pareillement, semblablement, par analogie, selon, plus que / moins que…</w:t>
            </w:r>
          </w:p>
        </w:tc>
        <w:tc>
          <w:tcPr>
            <w:tcW w:w="2976" w:type="dxa"/>
          </w:tcPr>
          <w:p w:rsidR="007322AC" w:rsidRDefault="007322AC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69" w:rsidRDefault="007322AC" w:rsidP="00B34C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comparaison</w:t>
            </w:r>
          </w:p>
        </w:tc>
        <w:tc>
          <w:tcPr>
            <w:tcW w:w="2300" w:type="dxa"/>
          </w:tcPr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d'établir un</w:t>
            </w:r>
          </w:p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rapprochement entre</w:t>
            </w:r>
          </w:p>
          <w:p w:rsidR="00A90569" w:rsidRDefault="007322AC" w:rsidP="007322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faits</w:t>
            </w:r>
          </w:p>
        </w:tc>
      </w:tr>
      <w:tr w:rsidR="007322AC" w:rsidTr="00A90569">
        <w:tc>
          <w:tcPr>
            <w:tcW w:w="3936" w:type="dxa"/>
          </w:tcPr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si, à supposer que, en admettant que,</w:t>
            </w:r>
          </w:p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probablement, sans doute, apparemment, au cas où, à la condition que, dans l'hypothèse</w:t>
            </w:r>
          </w:p>
          <w:p w:rsidR="007322AC" w:rsidRDefault="007322AC" w:rsidP="007322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où, pourvu que…</w:t>
            </w:r>
          </w:p>
        </w:tc>
        <w:tc>
          <w:tcPr>
            <w:tcW w:w="2976" w:type="dxa"/>
          </w:tcPr>
          <w:p w:rsidR="007322AC" w:rsidRDefault="007322AC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C" w:rsidRDefault="007322AC" w:rsidP="00B34C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condition</w:t>
            </w:r>
          </w:p>
        </w:tc>
        <w:tc>
          <w:tcPr>
            <w:tcW w:w="2300" w:type="dxa"/>
          </w:tcPr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d'émettre des</w:t>
            </w:r>
          </w:p>
          <w:p w:rsidR="007322AC" w:rsidRDefault="007322AC" w:rsidP="0073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hypothèses en faveur</w:t>
            </w:r>
          </w:p>
          <w:p w:rsidR="007322AC" w:rsidRDefault="007322AC" w:rsidP="007322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 non d'une idée</w:t>
            </w:r>
          </w:p>
        </w:tc>
      </w:tr>
      <w:tr w:rsidR="007322AC" w:rsidTr="00A90569">
        <w:tc>
          <w:tcPr>
            <w:tcW w:w="3936" w:type="dxa"/>
          </w:tcPr>
          <w:p w:rsidR="007322AC" w:rsidRPr="00302499" w:rsidRDefault="007322AC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car, c'est-à-dire, en effet, en d'autres termes, parce que, puisque, de telle façon que, en sorte que, ainsi</w:t>
            </w:r>
            <w:r w:rsidR="00302499">
              <w:rPr>
                <w:rFonts w:ascii="Times New Roman" w:hAnsi="Times New Roman" w:cs="Times New Roman"/>
                <w:sz w:val="24"/>
                <w:szCs w:val="24"/>
              </w:rPr>
              <w:t xml:space="preserve">, c'est ainsi que, non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seulement… mais encore, du fait de…</w:t>
            </w:r>
          </w:p>
        </w:tc>
        <w:tc>
          <w:tcPr>
            <w:tcW w:w="2976" w:type="dxa"/>
          </w:tcPr>
          <w:p w:rsidR="007322AC" w:rsidRDefault="007322AC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C" w:rsidRDefault="007322AC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C" w:rsidRDefault="007322AC" w:rsidP="00B34C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justification</w:t>
            </w:r>
          </w:p>
        </w:tc>
        <w:tc>
          <w:tcPr>
            <w:tcW w:w="2300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d'apporter des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informations pour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expliciter et préciser</w:t>
            </w:r>
          </w:p>
          <w:p w:rsidR="007322AC" w:rsidRDefault="00302499" w:rsidP="003024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arguments</w:t>
            </w:r>
          </w:p>
        </w:tc>
      </w:tr>
      <w:tr w:rsidR="00302499" w:rsidTr="00A90569">
        <w:tc>
          <w:tcPr>
            <w:tcW w:w="3936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car, parce que, puisque, par, grâce à, en effet, en raison de, du fait que, dans la mesure où, sous prétexte que, en raison de…</w:t>
            </w:r>
          </w:p>
        </w:tc>
        <w:tc>
          <w:tcPr>
            <w:tcW w:w="2976" w:type="dxa"/>
          </w:tcPr>
          <w:p w:rsidR="00302499" w:rsidRDefault="00302499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9" w:rsidRDefault="00302499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cause</w:t>
            </w:r>
          </w:p>
        </w:tc>
        <w:tc>
          <w:tcPr>
            <w:tcW w:w="2300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d'exposer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l'origine, la raison,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d'un fait</w:t>
            </w:r>
          </w:p>
        </w:tc>
      </w:tr>
      <w:tr w:rsidR="00302499" w:rsidTr="00A90569">
        <w:tc>
          <w:tcPr>
            <w:tcW w:w="3936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premièrement… deuxièmement, puis,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ensuite, d'une part… d'autre part, non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seulement… mais encore, avant tout,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d'abord, en premier lieu…</w:t>
            </w:r>
          </w:p>
        </w:tc>
        <w:tc>
          <w:tcPr>
            <w:tcW w:w="2976" w:type="dxa"/>
          </w:tcPr>
          <w:p w:rsidR="00302499" w:rsidRDefault="00302499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9" w:rsidRDefault="00302499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classification</w:t>
            </w:r>
          </w:p>
        </w:tc>
        <w:tc>
          <w:tcPr>
            <w:tcW w:w="2300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de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hiérarchiser les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éléments présentés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l'argumentation</w:t>
            </w:r>
          </w:p>
        </w:tc>
      </w:tr>
      <w:tr w:rsidR="00302499" w:rsidTr="00A90569">
        <w:tc>
          <w:tcPr>
            <w:tcW w:w="3936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afin que, en vue de, de peur que, pour, pour que…</w:t>
            </w:r>
          </w:p>
        </w:tc>
        <w:tc>
          <w:tcPr>
            <w:tcW w:w="2976" w:type="dxa"/>
          </w:tcPr>
          <w:p w:rsidR="00302499" w:rsidRDefault="00302499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99" w:rsidRDefault="00302499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finalité</w:t>
            </w:r>
          </w:p>
        </w:tc>
        <w:tc>
          <w:tcPr>
            <w:tcW w:w="2300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de présenter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but de son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</w:t>
            </w:r>
          </w:p>
        </w:tc>
      </w:tr>
      <w:tr w:rsidR="00302499" w:rsidTr="00A90569">
        <w:tc>
          <w:tcPr>
            <w:tcW w:w="3936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après avoir souligné… passons maintenant à…</w:t>
            </w:r>
          </w:p>
        </w:tc>
        <w:tc>
          <w:tcPr>
            <w:tcW w:w="2976" w:type="dxa"/>
          </w:tcPr>
          <w:p w:rsidR="00302499" w:rsidRDefault="00302499" w:rsidP="00B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transition</w:t>
            </w:r>
          </w:p>
        </w:tc>
        <w:tc>
          <w:tcPr>
            <w:tcW w:w="2300" w:type="dxa"/>
          </w:tcPr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 de passer</w:t>
            </w:r>
          </w:p>
          <w:p w:rsidR="00302499" w:rsidRDefault="00302499" w:rsidP="0030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d'une idée à une autre</w:t>
            </w:r>
          </w:p>
        </w:tc>
      </w:tr>
    </w:tbl>
    <w:p w:rsidR="00B34CBD" w:rsidRPr="0036122E" w:rsidRDefault="00B34CBD" w:rsidP="00B34CBD">
      <w:pPr>
        <w:rPr>
          <w:rFonts w:asciiTheme="majorBidi" w:hAnsiTheme="majorBidi" w:cstheme="majorBidi"/>
          <w:sz w:val="24"/>
          <w:szCs w:val="24"/>
        </w:rPr>
      </w:pPr>
    </w:p>
    <w:p w:rsidR="0036122E" w:rsidRPr="0036122E" w:rsidRDefault="0036122E">
      <w:pPr>
        <w:rPr>
          <w:rFonts w:asciiTheme="majorBidi" w:hAnsiTheme="majorBidi" w:cstheme="majorBidi"/>
          <w:sz w:val="24"/>
          <w:szCs w:val="24"/>
        </w:rPr>
      </w:pPr>
    </w:p>
    <w:sectPr w:rsidR="0036122E" w:rsidRPr="0036122E" w:rsidSect="00C3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D3B"/>
    <w:multiLevelType w:val="hybridMultilevel"/>
    <w:tmpl w:val="BA828B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1F30"/>
    <w:multiLevelType w:val="hybridMultilevel"/>
    <w:tmpl w:val="0980C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D36DB"/>
    <w:multiLevelType w:val="hybridMultilevel"/>
    <w:tmpl w:val="17A0A1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17EC"/>
    <w:multiLevelType w:val="hybridMultilevel"/>
    <w:tmpl w:val="FF46DB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34CBD"/>
    <w:rsid w:val="00100A74"/>
    <w:rsid w:val="00250170"/>
    <w:rsid w:val="00302499"/>
    <w:rsid w:val="00337B23"/>
    <w:rsid w:val="0036122E"/>
    <w:rsid w:val="005B6299"/>
    <w:rsid w:val="00701B38"/>
    <w:rsid w:val="00720539"/>
    <w:rsid w:val="007322AC"/>
    <w:rsid w:val="00815D97"/>
    <w:rsid w:val="008F4D01"/>
    <w:rsid w:val="009837ED"/>
    <w:rsid w:val="00A90569"/>
    <w:rsid w:val="00B34CBD"/>
    <w:rsid w:val="00B7329C"/>
    <w:rsid w:val="00C324F1"/>
    <w:rsid w:val="00E16418"/>
    <w:rsid w:val="00EA17E5"/>
    <w:rsid w:val="00FB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tilo11">
    <w:name w:val="estilo11"/>
    <w:basedOn w:val="Normal"/>
    <w:rsid w:val="00B3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66"/>
      <w:sz w:val="24"/>
      <w:szCs w:val="24"/>
      <w:lang w:eastAsia="fr-FR"/>
    </w:rPr>
  </w:style>
  <w:style w:type="character" w:customStyle="1" w:styleId="estilo31">
    <w:name w:val="estilo31"/>
    <w:basedOn w:val="Policepardfaut"/>
    <w:rsid w:val="00B34CBD"/>
    <w:rPr>
      <w:color w:val="0033CC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732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0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05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Adrar</dc:creator>
  <cp:keywords/>
  <dc:description/>
  <cp:lastModifiedBy>Adrar</cp:lastModifiedBy>
  <cp:revision>1</cp:revision>
  <dcterms:created xsi:type="dcterms:W3CDTF">2011-11-25T07:33:00Z</dcterms:created>
  <dcterms:modified xsi:type="dcterms:W3CDTF">2011-11-25T11:16:00Z</dcterms:modified>
</cp:coreProperties>
</file>